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DF781" w14:textId="77777777" w:rsidR="00754D8D" w:rsidRPr="005B2D2E" w:rsidRDefault="00754D8D" w:rsidP="00754D8D">
      <w:pPr>
        <w:shd w:val="clear" w:color="auto" w:fill="C4BC96"/>
        <w:spacing w:after="0" w:line="240" w:lineRule="auto"/>
        <w:contextualSpacing/>
        <w:jc w:val="center"/>
        <w:rPr>
          <w:rFonts w:ascii="Futura Bk" w:hAnsi="Futura Bk"/>
          <w:b/>
          <w:smallCaps/>
          <w:color w:val="FFFFFF"/>
          <w:sz w:val="25"/>
          <w:szCs w:val="25"/>
        </w:rPr>
      </w:pPr>
      <w:r>
        <w:rPr>
          <w:rFonts w:ascii="Futura Bk" w:hAnsi="Futura Bk"/>
          <w:b/>
          <w:smallCaps/>
          <w:color w:val="FFFFFF"/>
          <w:sz w:val="25"/>
          <w:szCs w:val="25"/>
        </w:rPr>
        <w:t>Purpose</w:t>
      </w:r>
    </w:p>
    <w:p w14:paraId="19DBC8DC" w14:textId="5BDC3301" w:rsidR="00754D8D" w:rsidRPr="00CA4A3F" w:rsidRDefault="00B74A74" w:rsidP="00CA4A3F">
      <w:commentRangeStart w:id="0"/>
      <w:r>
        <w:t>CUSTOMER</w:t>
      </w:r>
      <w:r w:rsidR="00CA4A3F">
        <w:t xml:space="preserve"> requested an assessment of the fundraising potential for the </w:t>
      </w:r>
      <w:r>
        <w:t>CU School of Underwater Basket Weaving</w:t>
      </w:r>
      <w:r w:rsidR="00846D9A">
        <w:t>.  They are benchmarking this school with peers as part of the</w:t>
      </w:r>
      <w:r>
        <w:t>ir</w:t>
      </w:r>
      <w:r w:rsidR="00846D9A">
        <w:t xml:space="preserve"> strategic planning process.  One of the focus areas for the strategic plan (draft version) is diversifying financial resources.</w:t>
      </w:r>
      <w:commentRangeEnd w:id="0"/>
      <w:r w:rsidR="003A2DE5">
        <w:rPr>
          <w:rStyle w:val="CommentReference"/>
        </w:rPr>
        <w:commentReference w:id="0"/>
      </w:r>
    </w:p>
    <w:p w14:paraId="1FB56B9A" w14:textId="77777777" w:rsidR="00754D8D" w:rsidRPr="004571EF" w:rsidRDefault="00754D8D" w:rsidP="00754D8D">
      <w:pPr>
        <w:shd w:val="clear" w:color="auto" w:fill="C4BC96"/>
        <w:spacing w:after="0" w:line="240" w:lineRule="auto"/>
        <w:contextualSpacing/>
        <w:jc w:val="center"/>
        <w:rPr>
          <w:rFonts w:ascii="Futura Bk" w:hAnsi="Futura Bk"/>
          <w:b/>
          <w:smallCaps/>
          <w:color w:val="FFFFFF"/>
          <w:sz w:val="25"/>
          <w:szCs w:val="25"/>
        </w:rPr>
      </w:pPr>
      <w:r w:rsidRPr="004571EF">
        <w:rPr>
          <w:rFonts w:ascii="Futura Bk" w:hAnsi="Futura Bk"/>
          <w:b/>
          <w:smallCaps/>
          <w:color w:val="FFFFFF"/>
          <w:sz w:val="25"/>
          <w:szCs w:val="25"/>
        </w:rPr>
        <w:t>Recommendation</w:t>
      </w:r>
    </w:p>
    <w:p w14:paraId="73B6F0A4" w14:textId="1FA93697" w:rsidR="00316BDA" w:rsidRDefault="00426647" w:rsidP="00754D8D">
      <w:commentRangeStart w:id="1"/>
      <w:r>
        <w:t xml:space="preserve">The </w:t>
      </w:r>
      <w:r w:rsidR="00A857C6">
        <w:t>CU School of Underwater Basket Weaving</w:t>
      </w:r>
      <w:r>
        <w:t xml:space="preserve"> (</w:t>
      </w:r>
      <w:r w:rsidR="00A857C6">
        <w:t>SUBW</w:t>
      </w:r>
      <w:r>
        <w:t xml:space="preserve">) has a healthy prospect pool of alumni, donors, and organizations.  Many donors to </w:t>
      </w:r>
      <w:r w:rsidR="00A857C6">
        <w:t>SUBW</w:t>
      </w:r>
      <w:r>
        <w:t xml:space="preserve"> also give elsewhere at CU.  </w:t>
      </w:r>
    </w:p>
    <w:p w14:paraId="6351A625" w14:textId="0D466B07" w:rsidR="00426647" w:rsidRDefault="00426647" w:rsidP="00754D8D">
      <w:pPr>
        <w:rPr>
          <w:rFonts w:cstheme="minorHAnsi"/>
          <w:color w:val="1D1C1D"/>
          <w:shd w:val="clear" w:color="auto" w:fill="FFFFFF"/>
        </w:rPr>
      </w:pPr>
      <w:r w:rsidRPr="00426647">
        <w:rPr>
          <w:rFonts w:cstheme="minorHAnsi"/>
          <w:color w:val="1D1C1D"/>
          <w:shd w:val="clear" w:color="auto" w:fill="FFFFFF"/>
        </w:rPr>
        <w:t xml:space="preserve">When reviewing the </w:t>
      </w:r>
      <w:r w:rsidR="00A857C6">
        <w:rPr>
          <w:rFonts w:cstheme="minorHAnsi"/>
          <w:color w:val="1D1C1D"/>
          <w:shd w:val="clear" w:color="auto" w:fill="FFFFFF"/>
        </w:rPr>
        <w:t>SUBW</w:t>
      </w:r>
      <w:r w:rsidRPr="00426647">
        <w:rPr>
          <w:rFonts w:cstheme="minorHAnsi"/>
          <w:color w:val="1D1C1D"/>
          <w:shd w:val="clear" w:color="auto" w:fill="FFFFFF"/>
        </w:rPr>
        <w:t xml:space="preserve"> pool, it is clear it is appropriately managed. Those with high capacity, high affinity</w:t>
      </w:r>
      <w:r>
        <w:rPr>
          <w:rFonts w:cstheme="minorHAnsi"/>
          <w:color w:val="1D1C1D"/>
          <w:shd w:val="clear" w:color="auto" w:fill="FFFFFF"/>
        </w:rPr>
        <w:t>,</w:t>
      </w:r>
      <w:r w:rsidRPr="00426647">
        <w:rPr>
          <w:rFonts w:cstheme="minorHAnsi"/>
          <w:color w:val="1D1C1D"/>
          <w:shd w:val="clear" w:color="auto" w:fill="FFFFFF"/>
        </w:rPr>
        <w:t xml:space="preserve"> and a history of giving to CU are managed primarily by staff</w:t>
      </w:r>
      <w:r w:rsidR="00A857C6">
        <w:rPr>
          <w:rFonts w:cstheme="minorHAnsi"/>
          <w:color w:val="1D1C1D"/>
          <w:shd w:val="clear" w:color="auto" w:fill="FFFFFF"/>
        </w:rPr>
        <w:t xml:space="preserve"> supporting that school</w:t>
      </w:r>
      <w:r w:rsidRPr="00426647">
        <w:rPr>
          <w:rFonts w:cstheme="minorHAnsi"/>
          <w:color w:val="1D1C1D"/>
          <w:shd w:val="clear" w:color="auto" w:fill="FFFFFF"/>
        </w:rPr>
        <w:t xml:space="preserve">. </w:t>
      </w:r>
    </w:p>
    <w:p w14:paraId="02671875" w14:textId="02305EDF" w:rsidR="00426647" w:rsidRPr="00426647" w:rsidRDefault="00426647" w:rsidP="00754D8D">
      <w:pPr>
        <w:rPr>
          <w:rFonts w:cstheme="minorHAnsi"/>
        </w:rPr>
      </w:pPr>
      <w:r w:rsidRPr="00426647">
        <w:rPr>
          <w:rFonts w:cstheme="minorHAnsi"/>
        </w:rPr>
        <w:t xml:space="preserve">27% of recent (past 5 years) donors to the </w:t>
      </w:r>
      <w:r w:rsidR="00A857C6">
        <w:rPr>
          <w:rFonts w:cstheme="minorHAnsi"/>
        </w:rPr>
        <w:t>SUBW</w:t>
      </w:r>
      <w:r w:rsidRPr="00426647">
        <w:rPr>
          <w:rFonts w:cstheme="minorHAnsi"/>
        </w:rPr>
        <w:t xml:space="preserve"> are alumni</w:t>
      </w:r>
      <w:r w:rsidR="003318F9">
        <w:rPr>
          <w:rFonts w:cstheme="minorHAnsi"/>
        </w:rPr>
        <w:t xml:space="preserve"> of the </w:t>
      </w:r>
      <w:r w:rsidR="00A857C6">
        <w:rPr>
          <w:rFonts w:cstheme="minorHAnsi"/>
        </w:rPr>
        <w:t>SUBW</w:t>
      </w:r>
      <w:r w:rsidRPr="00426647">
        <w:rPr>
          <w:rFonts w:cstheme="minorHAnsi"/>
        </w:rPr>
        <w:t>, though only one alum is giving at a major gift level.  Increasing engagement with individual donors</w:t>
      </w:r>
      <w:r w:rsidR="003318F9" w:rsidRPr="003318F9">
        <w:rPr>
          <w:rFonts w:cstheme="minorHAnsi"/>
        </w:rPr>
        <w:t xml:space="preserve"> </w:t>
      </w:r>
      <w:r w:rsidR="003318F9" w:rsidRPr="00426647">
        <w:rPr>
          <w:rFonts w:cstheme="minorHAnsi"/>
        </w:rPr>
        <w:t>could increase giving</w:t>
      </w:r>
      <w:r w:rsidRPr="00426647">
        <w:rPr>
          <w:rFonts w:cstheme="minorHAnsi"/>
        </w:rPr>
        <w:t>,</w:t>
      </w:r>
      <w:r w:rsidR="00A857C6">
        <w:rPr>
          <w:rFonts w:cstheme="minorHAnsi"/>
        </w:rPr>
        <w:t xml:space="preserve"> especial</w:t>
      </w:r>
      <w:r w:rsidR="004A77A2">
        <w:rPr>
          <w:rFonts w:cstheme="minorHAnsi"/>
        </w:rPr>
        <w:t>ly</w:t>
      </w:r>
      <w:r w:rsidR="00A857C6">
        <w:rPr>
          <w:rFonts w:cstheme="minorHAnsi"/>
        </w:rPr>
        <w:t xml:space="preserve"> giving by</w:t>
      </w:r>
      <w:r w:rsidRPr="00426647">
        <w:rPr>
          <w:rFonts w:cstheme="minorHAnsi"/>
        </w:rPr>
        <w:t xml:space="preserve"> </w:t>
      </w:r>
      <w:r w:rsidR="00A857C6">
        <w:rPr>
          <w:rFonts w:cstheme="minorHAnsi"/>
        </w:rPr>
        <w:t>SUBW</w:t>
      </w:r>
      <w:r w:rsidR="003318F9">
        <w:rPr>
          <w:rFonts w:cstheme="minorHAnsi"/>
        </w:rPr>
        <w:t xml:space="preserve"> </w:t>
      </w:r>
      <w:r w:rsidRPr="00426647">
        <w:rPr>
          <w:rFonts w:cstheme="minorHAnsi"/>
        </w:rPr>
        <w:t>alumni in particular</w:t>
      </w:r>
      <w:r w:rsidR="003318F9">
        <w:rPr>
          <w:rFonts w:cstheme="minorHAnsi"/>
        </w:rPr>
        <w:t xml:space="preserve"> and also alumni of other programs who have previously given to the </w:t>
      </w:r>
      <w:r w:rsidR="00A857C6">
        <w:rPr>
          <w:rFonts w:cstheme="minorHAnsi"/>
        </w:rPr>
        <w:t>SUBW</w:t>
      </w:r>
      <w:r w:rsidRPr="00426647">
        <w:rPr>
          <w:rFonts w:cstheme="minorHAnsi"/>
        </w:rPr>
        <w:t>.  Focusing on individual donors whose giving falls in the $1,000-$9,999 band could also lead to increased major gift activity.</w:t>
      </w:r>
      <w:commentRangeEnd w:id="1"/>
      <w:r w:rsidR="00A857C6">
        <w:rPr>
          <w:rStyle w:val="CommentReference"/>
        </w:rPr>
        <w:commentReference w:id="1"/>
      </w:r>
    </w:p>
    <w:p w14:paraId="4C3ABE16" w14:textId="77777777" w:rsidR="00754D8D" w:rsidRPr="004571EF" w:rsidRDefault="00754D8D" w:rsidP="00754D8D">
      <w:pPr>
        <w:shd w:val="clear" w:color="auto" w:fill="C4BC96"/>
        <w:spacing w:after="0" w:line="240" w:lineRule="auto"/>
        <w:contextualSpacing/>
        <w:jc w:val="center"/>
        <w:rPr>
          <w:rFonts w:ascii="Futura Bk" w:hAnsi="Futura Bk"/>
          <w:b/>
          <w:smallCaps/>
          <w:color w:val="FFFFFF"/>
          <w:sz w:val="25"/>
          <w:szCs w:val="25"/>
        </w:rPr>
      </w:pPr>
      <w:r w:rsidRPr="004571EF">
        <w:rPr>
          <w:rFonts w:ascii="Futura Bk" w:hAnsi="Futura Bk"/>
          <w:b/>
          <w:smallCaps/>
          <w:color w:val="FFFFFF"/>
          <w:sz w:val="25"/>
          <w:szCs w:val="25"/>
        </w:rPr>
        <w:t>Analysis</w:t>
      </w:r>
    </w:p>
    <w:p w14:paraId="049B2B3C" w14:textId="6FB01597" w:rsidR="00ED732D" w:rsidRDefault="00ED732D">
      <w:pPr>
        <w:rPr>
          <w:b/>
        </w:rPr>
      </w:pPr>
      <w:r w:rsidRPr="00ED732D">
        <w:rPr>
          <w:b/>
        </w:rPr>
        <w:t xml:space="preserve">Overall </w:t>
      </w:r>
      <w:r w:rsidR="00A857C6">
        <w:rPr>
          <w:b/>
        </w:rPr>
        <w:t>SUBW</w:t>
      </w:r>
      <w:r w:rsidRPr="00ED732D">
        <w:rPr>
          <w:b/>
        </w:rPr>
        <w:t xml:space="preserve"> Pool</w:t>
      </w:r>
    </w:p>
    <w:p w14:paraId="4FD65D16" w14:textId="1BE6D0DD" w:rsidR="00ED732D" w:rsidRDefault="00ED732D" w:rsidP="00ED732D">
      <w:commentRangeStart w:id="2"/>
      <w:r w:rsidRPr="00ED732D">
        <w:t>The pool analyzed includ</w:t>
      </w:r>
      <w:r w:rsidR="001825A4">
        <w:t>es</w:t>
      </w:r>
      <w:r w:rsidRPr="00ED732D">
        <w:t xml:space="preserve"> all </w:t>
      </w:r>
      <w:r w:rsidR="00A857C6">
        <w:t>SUBW</w:t>
      </w:r>
      <w:r w:rsidRPr="00ED732D">
        <w:t xml:space="preserve"> alumni, including those who are not donors, and all donors to </w:t>
      </w:r>
      <w:r w:rsidR="00A857C6">
        <w:t>SUBW</w:t>
      </w:r>
      <w:r w:rsidRPr="00ED732D">
        <w:t xml:space="preserve"> who have made a gift in the past 5 years (since July 1, 2015, to capture 5 full fiscal years).  </w:t>
      </w:r>
      <w:r w:rsidR="00A857C6">
        <w:t>INSERT ADDITIONAL POOL CRITERIA HERE</w:t>
      </w:r>
      <w:commentRangeEnd w:id="2"/>
      <w:r w:rsidR="00A857C6">
        <w:rPr>
          <w:rStyle w:val="CommentReference"/>
        </w:rPr>
        <w:commentReference w:id="2"/>
      </w:r>
    </w:p>
    <w:p w14:paraId="01AC8C61" w14:textId="46395E91" w:rsidR="00846D9A" w:rsidRDefault="00846D9A" w:rsidP="00846D9A">
      <w:commentRangeStart w:id="3"/>
      <w:r w:rsidRPr="00294C44">
        <w:t xml:space="preserve">The </w:t>
      </w:r>
      <w:r w:rsidRPr="00067397">
        <w:t xml:space="preserve">pool contains </w:t>
      </w:r>
      <w:r w:rsidRPr="00067397">
        <w:rPr>
          <w:b/>
          <w:bCs/>
        </w:rPr>
        <w:t>3,447</w:t>
      </w:r>
      <w:r w:rsidRPr="00067397">
        <w:t xml:space="preserve"> entities who would be considered prospects for the </w:t>
      </w:r>
      <w:r w:rsidR="00A857C6">
        <w:t>SUBW</w:t>
      </w:r>
      <w:r w:rsidRPr="00067397">
        <w:t>.  3,346 of these entities are individuals, while 101 are organizations.  869 are donors, inclu</w:t>
      </w:r>
      <w:r>
        <w:t xml:space="preserve">ding 237 donors who are also alumni of the </w:t>
      </w:r>
      <w:r w:rsidR="00A857C6">
        <w:t>SUBW</w:t>
      </w:r>
      <w:r w:rsidRPr="00294C44">
        <w:t>.</w:t>
      </w:r>
      <w:r>
        <w:t xml:space="preserve">  27% of donors to the </w:t>
      </w:r>
      <w:r w:rsidR="00A857C6">
        <w:t>SUBW</w:t>
      </w:r>
      <w:r>
        <w:t xml:space="preserve"> are also alumni</w:t>
      </w:r>
      <w:r w:rsidR="003318F9">
        <w:t xml:space="preserve"> of the </w:t>
      </w:r>
      <w:r w:rsidR="00A857C6">
        <w:t>SUBW</w:t>
      </w:r>
      <w:r w:rsidR="003318F9">
        <w:t xml:space="preserve">.  </w:t>
      </w:r>
      <w:r>
        <w:t xml:space="preserve">Organization donors make up 3% of the prospect pool (which also includes alumni) and 12% of the donor pool.  </w:t>
      </w:r>
      <w:r w:rsidR="006E76F5">
        <w:t xml:space="preserve">The remainder of the donor pool is composed primarily of alumni to other programs at CU (39% of overall </w:t>
      </w:r>
      <w:r w:rsidR="00A857C6">
        <w:t>SUBW</w:t>
      </w:r>
      <w:r w:rsidR="006E76F5">
        <w:t xml:space="preserve"> donor pool) and friends (13%).</w:t>
      </w:r>
      <w:commentRangeEnd w:id="3"/>
      <w:r w:rsidR="00A857C6">
        <w:rPr>
          <w:rStyle w:val="CommentReference"/>
        </w:rPr>
        <w:commentReference w:id="3"/>
      </w:r>
    </w:p>
    <w:p w14:paraId="299FFD24" w14:textId="1DF59199" w:rsidR="00BF6E71" w:rsidRDefault="00846D9A">
      <w:pPr>
        <w:rPr>
          <w:b/>
        </w:rPr>
      </w:pPr>
      <w:commentRangeStart w:id="4"/>
      <w:r>
        <w:rPr>
          <w:b/>
        </w:rPr>
        <w:t>Giving Trends of the Prospect Pool</w:t>
      </w:r>
      <w:commentRangeEnd w:id="4"/>
      <w:r w:rsidR="00A857C6">
        <w:rPr>
          <w:rStyle w:val="CommentReference"/>
        </w:rPr>
        <w:commentReference w:id="4"/>
      </w:r>
    </w:p>
    <w:p w14:paraId="61E7A084" w14:textId="3D83485F" w:rsidR="00846D9A" w:rsidRDefault="00F416DB" w:rsidP="00846D9A">
      <w:r>
        <w:rPr>
          <w:bCs/>
        </w:rPr>
        <w:t xml:space="preserve">Based on our pool, the giving analysis below focuses on donors who have made a gift to </w:t>
      </w:r>
      <w:r w:rsidR="00A857C6">
        <w:rPr>
          <w:bCs/>
        </w:rPr>
        <w:t>SUBW</w:t>
      </w:r>
      <w:r>
        <w:rPr>
          <w:bCs/>
        </w:rPr>
        <w:t xml:space="preserve"> in the past 5 years (since July 1, 2015).  </w:t>
      </w:r>
      <w:r w:rsidR="00846D9A">
        <w:t xml:space="preserve">Only one </w:t>
      </w:r>
      <w:r w:rsidR="00A857C6">
        <w:t>SUBW</w:t>
      </w:r>
      <w:r w:rsidR="00846D9A">
        <w:t xml:space="preserve"> alum is giving at a major gift level.  Although the pool has a very low number of organization donors, they make up 71% of the donors who have made a gift of $10,000 or more to </w:t>
      </w:r>
      <w:r w:rsidR="00A857C6">
        <w:t>SUBW</w:t>
      </w:r>
      <w:r w:rsidR="00846D9A">
        <w:t>.  There is a pool of 77 individual donors and 25 organization donors with lifetime giving in the $1,000-$9,999 band who could be good prospects to review to convert to major gift donors.  Of those 77 individuals, 7 have capacity ratings of $250,000-$999,999, 22 have capacities of $100,000-$249,999, and 12 have capacity ratings of $25,000-$99,999, totaling 41 individuals with major gift capacity.  31 of those 77 individuals, plus 3 organizations, are currently managed prospects.</w:t>
      </w:r>
    </w:p>
    <w:tbl>
      <w:tblPr>
        <w:tblStyle w:val="TableGrid"/>
        <w:tblpPr w:leftFromText="180" w:rightFromText="180" w:vertAnchor="text" w:horzAnchor="margin" w:tblpY="79"/>
        <w:tblW w:w="0" w:type="auto"/>
        <w:tblLook w:val="04A0" w:firstRow="1" w:lastRow="0" w:firstColumn="1" w:lastColumn="0" w:noHBand="0" w:noVBand="1"/>
      </w:tblPr>
      <w:tblGrid>
        <w:gridCol w:w="1992"/>
        <w:gridCol w:w="1920"/>
        <w:gridCol w:w="2023"/>
        <w:gridCol w:w="1632"/>
        <w:gridCol w:w="1783"/>
      </w:tblGrid>
      <w:tr w:rsidR="00846D9A" w:rsidRPr="003B79F2" w14:paraId="1FFF6852" w14:textId="77777777" w:rsidTr="000F09AF">
        <w:tc>
          <w:tcPr>
            <w:tcW w:w="1992" w:type="dxa"/>
            <w:vMerge w:val="restart"/>
            <w:shd w:val="clear" w:color="auto" w:fill="D9D9D9" w:themeFill="background1" w:themeFillShade="D9"/>
          </w:tcPr>
          <w:p w14:paraId="02A4425D" w14:textId="6A84C7F3" w:rsidR="00846D9A" w:rsidRPr="003B79F2" w:rsidRDefault="00A857C6" w:rsidP="000F09AF">
            <w:pPr>
              <w:rPr>
                <w:b/>
                <w:bCs/>
              </w:rPr>
            </w:pPr>
            <w:r>
              <w:rPr>
                <w:b/>
                <w:bCs/>
              </w:rPr>
              <w:lastRenderedPageBreak/>
              <w:t>SUBW</w:t>
            </w:r>
            <w:r w:rsidR="00846D9A" w:rsidRPr="003B79F2">
              <w:rPr>
                <w:b/>
                <w:bCs/>
              </w:rPr>
              <w:t xml:space="preserve"> Lifetime Giving Total</w:t>
            </w:r>
          </w:p>
        </w:tc>
        <w:tc>
          <w:tcPr>
            <w:tcW w:w="3943" w:type="dxa"/>
            <w:gridSpan w:val="2"/>
            <w:shd w:val="clear" w:color="auto" w:fill="D9D9D9" w:themeFill="background1" w:themeFillShade="D9"/>
          </w:tcPr>
          <w:p w14:paraId="72929EE8" w14:textId="77777777" w:rsidR="00846D9A" w:rsidRPr="003B79F2" w:rsidRDefault="00846D9A" w:rsidP="000F09AF">
            <w:pPr>
              <w:jc w:val="center"/>
              <w:rPr>
                <w:b/>
                <w:bCs/>
              </w:rPr>
            </w:pPr>
            <w:r w:rsidRPr="003B79F2">
              <w:rPr>
                <w:b/>
                <w:bCs/>
              </w:rPr>
              <w:t>People / Individual Donors</w:t>
            </w:r>
          </w:p>
        </w:tc>
        <w:tc>
          <w:tcPr>
            <w:tcW w:w="1632" w:type="dxa"/>
            <w:vMerge w:val="restart"/>
            <w:shd w:val="clear" w:color="auto" w:fill="D9D9D9" w:themeFill="background1" w:themeFillShade="D9"/>
          </w:tcPr>
          <w:p w14:paraId="7DE7222A" w14:textId="77777777" w:rsidR="00846D9A" w:rsidRPr="003B79F2" w:rsidRDefault="00846D9A" w:rsidP="000F09AF">
            <w:pPr>
              <w:jc w:val="center"/>
              <w:rPr>
                <w:b/>
                <w:bCs/>
              </w:rPr>
            </w:pPr>
          </w:p>
          <w:p w14:paraId="2716AE27" w14:textId="77777777" w:rsidR="00846D9A" w:rsidRPr="003B79F2" w:rsidRDefault="00846D9A" w:rsidP="000F09AF">
            <w:pPr>
              <w:jc w:val="center"/>
              <w:rPr>
                <w:b/>
                <w:bCs/>
              </w:rPr>
            </w:pPr>
            <w:r w:rsidRPr="003B79F2">
              <w:rPr>
                <w:b/>
                <w:bCs/>
              </w:rPr>
              <w:t>Organizations</w:t>
            </w:r>
          </w:p>
        </w:tc>
        <w:tc>
          <w:tcPr>
            <w:tcW w:w="1783" w:type="dxa"/>
            <w:vMerge w:val="restart"/>
            <w:shd w:val="clear" w:color="auto" w:fill="D9D9D9" w:themeFill="background1" w:themeFillShade="D9"/>
          </w:tcPr>
          <w:p w14:paraId="2C23E29D" w14:textId="77777777" w:rsidR="00846D9A" w:rsidRPr="003B79F2" w:rsidRDefault="00846D9A" w:rsidP="000F09AF">
            <w:pPr>
              <w:jc w:val="center"/>
              <w:rPr>
                <w:b/>
                <w:bCs/>
              </w:rPr>
            </w:pPr>
          </w:p>
          <w:p w14:paraId="77B96FB5" w14:textId="77777777" w:rsidR="00846D9A" w:rsidRPr="003B79F2" w:rsidRDefault="00846D9A" w:rsidP="000F09AF">
            <w:pPr>
              <w:jc w:val="center"/>
              <w:rPr>
                <w:b/>
                <w:bCs/>
              </w:rPr>
            </w:pPr>
            <w:r w:rsidRPr="003B79F2">
              <w:rPr>
                <w:b/>
                <w:bCs/>
              </w:rPr>
              <w:t>Total</w:t>
            </w:r>
          </w:p>
        </w:tc>
      </w:tr>
      <w:tr w:rsidR="00846D9A" w:rsidRPr="003B79F2" w14:paraId="3F9F6909" w14:textId="77777777" w:rsidTr="000F09AF">
        <w:tc>
          <w:tcPr>
            <w:tcW w:w="1992" w:type="dxa"/>
            <w:vMerge/>
          </w:tcPr>
          <w:p w14:paraId="2451C51E" w14:textId="77777777" w:rsidR="00846D9A" w:rsidRPr="003B79F2" w:rsidRDefault="00846D9A" w:rsidP="000F09AF"/>
        </w:tc>
        <w:tc>
          <w:tcPr>
            <w:tcW w:w="1920" w:type="dxa"/>
            <w:shd w:val="clear" w:color="auto" w:fill="D9D9D9" w:themeFill="background1" w:themeFillShade="D9"/>
          </w:tcPr>
          <w:p w14:paraId="7003D3A2" w14:textId="72229690" w:rsidR="00846D9A" w:rsidRPr="003B79F2" w:rsidRDefault="00A857C6" w:rsidP="000F09AF">
            <w:pPr>
              <w:jc w:val="center"/>
              <w:rPr>
                <w:b/>
                <w:bCs/>
              </w:rPr>
            </w:pPr>
            <w:r>
              <w:rPr>
                <w:b/>
                <w:bCs/>
              </w:rPr>
              <w:t>SUBW</w:t>
            </w:r>
            <w:r w:rsidR="00846D9A" w:rsidRPr="003B79F2">
              <w:rPr>
                <w:b/>
                <w:bCs/>
              </w:rPr>
              <w:t xml:space="preserve"> Alumni</w:t>
            </w:r>
          </w:p>
        </w:tc>
        <w:tc>
          <w:tcPr>
            <w:tcW w:w="2023" w:type="dxa"/>
            <w:shd w:val="clear" w:color="auto" w:fill="D9D9D9" w:themeFill="background1" w:themeFillShade="D9"/>
          </w:tcPr>
          <w:p w14:paraId="5DDACF7B" w14:textId="264994C1" w:rsidR="00846D9A" w:rsidRPr="003B79F2" w:rsidRDefault="00846D9A" w:rsidP="000F09AF">
            <w:pPr>
              <w:jc w:val="center"/>
              <w:rPr>
                <w:b/>
                <w:bCs/>
              </w:rPr>
            </w:pPr>
            <w:r w:rsidRPr="003B79F2">
              <w:rPr>
                <w:b/>
                <w:bCs/>
              </w:rPr>
              <w:t>Non-</w:t>
            </w:r>
            <w:r w:rsidR="00A857C6">
              <w:rPr>
                <w:b/>
                <w:bCs/>
              </w:rPr>
              <w:t>SUBW</w:t>
            </w:r>
            <w:r w:rsidRPr="003B79F2">
              <w:rPr>
                <w:b/>
                <w:bCs/>
              </w:rPr>
              <w:t xml:space="preserve"> Alumni</w:t>
            </w:r>
          </w:p>
        </w:tc>
        <w:tc>
          <w:tcPr>
            <w:tcW w:w="1632" w:type="dxa"/>
            <w:vMerge/>
          </w:tcPr>
          <w:p w14:paraId="2E569599" w14:textId="77777777" w:rsidR="00846D9A" w:rsidRPr="003B79F2" w:rsidRDefault="00846D9A" w:rsidP="000F09AF">
            <w:pPr>
              <w:jc w:val="center"/>
            </w:pPr>
          </w:p>
        </w:tc>
        <w:tc>
          <w:tcPr>
            <w:tcW w:w="1783" w:type="dxa"/>
            <w:vMerge/>
          </w:tcPr>
          <w:p w14:paraId="4AB5E859" w14:textId="77777777" w:rsidR="00846D9A" w:rsidRPr="003B79F2" w:rsidRDefault="00846D9A" w:rsidP="000F09AF">
            <w:pPr>
              <w:jc w:val="center"/>
            </w:pPr>
          </w:p>
        </w:tc>
      </w:tr>
      <w:tr w:rsidR="00846D9A" w:rsidRPr="003B79F2" w14:paraId="5485E557" w14:textId="77777777" w:rsidTr="000F09AF">
        <w:tc>
          <w:tcPr>
            <w:tcW w:w="1992" w:type="dxa"/>
          </w:tcPr>
          <w:p w14:paraId="618D5BC7" w14:textId="77777777" w:rsidR="00846D9A" w:rsidRPr="003B79F2" w:rsidRDefault="00846D9A" w:rsidP="000F09AF">
            <w:r w:rsidRPr="003B79F2">
              <w:t>$1,000,000+</w:t>
            </w:r>
          </w:p>
        </w:tc>
        <w:tc>
          <w:tcPr>
            <w:tcW w:w="1920" w:type="dxa"/>
          </w:tcPr>
          <w:p w14:paraId="0706D583" w14:textId="77777777" w:rsidR="00846D9A" w:rsidRPr="003B79F2" w:rsidRDefault="00846D9A" w:rsidP="000F09AF">
            <w:pPr>
              <w:jc w:val="center"/>
            </w:pPr>
            <w:r>
              <w:t>0</w:t>
            </w:r>
          </w:p>
        </w:tc>
        <w:tc>
          <w:tcPr>
            <w:tcW w:w="2023" w:type="dxa"/>
          </w:tcPr>
          <w:p w14:paraId="2C39AB81" w14:textId="77777777" w:rsidR="00846D9A" w:rsidRPr="003B79F2" w:rsidRDefault="00846D9A" w:rsidP="000F09AF">
            <w:pPr>
              <w:jc w:val="center"/>
            </w:pPr>
            <w:r>
              <w:t>2</w:t>
            </w:r>
          </w:p>
        </w:tc>
        <w:tc>
          <w:tcPr>
            <w:tcW w:w="1632" w:type="dxa"/>
          </w:tcPr>
          <w:p w14:paraId="3B752E15" w14:textId="77777777" w:rsidR="00846D9A" w:rsidRPr="003B79F2" w:rsidRDefault="00846D9A" w:rsidP="000F09AF">
            <w:pPr>
              <w:jc w:val="center"/>
            </w:pPr>
            <w:r>
              <w:t>6</w:t>
            </w:r>
          </w:p>
        </w:tc>
        <w:tc>
          <w:tcPr>
            <w:tcW w:w="1783" w:type="dxa"/>
          </w:tcPr>
          <w:p w14:paraId="1975BAA4" w14:textId="77777777" w:rsidR="00846D9A" w:rsidRPr="003B79F2" w:rsidRDefault="00846D9A" w:rsidP="000F09AF">
            <w:pPr>
              <w:jc w:val="center"/>
            </w:pPr>
            <w:r>
              <w:t>8</w:t>
            </w:r>
          </w:p>
        </w:tc>
      </w:tr>
      <w:tr w:rsidR="00846D9A" w:rsidRPr="003B79F2" w14:paraId="72D1B3F1" w14:textId="77777777" w:rsidTr="000F09AF">
        <w:tc>
          <w:tcPr>
            <w:tcW w:w="1992" w:type="dxa"/>
          </w:tcPr>
          <w:p w14:paraId="2FBC2A8D" w14:textId="77777777" w:rsidR="00846D9A" w:rsidRPr="003B79F2" w:rsidRDefault="00846D9A" w:rsidP="000F09AF">
            <w:r w:rsidRPr="003B79F2">
              <w:t>$100,000-$999,999</w:t>
            </w:r>
          </w:p>
        </w:tc>
        <w:tc>
          <w:tcPr>
            <w:tcW w:w="1920" w:type="dxa"/>
          </w:tcPr>
          <w:p w14:paraId="60B924EF" w14:textId="77777777" w:rsidR="00846D9A" w:rsidRPr="003B79F2" w:rsidRDefault="00846D9A" w:rsidP="000F09AF">
            <w:pPr>
              <w:jc w:val="center"/>
            </w:pPr>
            <w:r>
              <w:t>1</w:t>
            </w:r>
          </w:p>
        </w:tc>
        <w:tc>
          <w:tcPr>
            <w:tcW w:w="2023" w:type="dxa"/>
          </w:tcPr>
          <w:p w14:paraId="39CACA21" w14:textId="77777777" w:rsidR="00846D9A" w:rsidRPr="003B79F2" w:rsidRDefault="00846D9A" w:rsidP="000F09AF">
            <w:pPr>
              <w:jc w:val="center"/>
            </w:pPr>
            <w:r>
              <w:t>8</w:t>
            </w:r>
          </w:p>
        </w:tc>
        <w:tc>
          <w:tcPr>
            <w:tcW w:w="1632" w:type="dxa"/>
          </w:tcPr>
          <w:p w14:paraId="33B91DA5" w14:textId="77777777" w:rsidR="00846D9A" w:rsidRPr="003B79F2" w:rsidRDefault="00846D9A" w:rsidP="000F09AF">
            <w:pPr>
              <w:jc w:val="center"/>
            </w:pPr>
            <w:r>
              <w:t>24</w:t>
            </w:r>
          </w:p>
        </w:tc>
        <w:tc>
          <w:tcPr>
            <w:tcW w:w="1783" w:type="dxa"/>
          </w:tcPr>
          <w:p w14:paraId="5FB30B9F" w14:textId="77777777" w:rsidR="00846D9A" w:rsidRPr="003B79F2" w:rsidRDefault="00846D9A" w:rsidP="000F09AF">
            <w:pPr>
              <w:jc w:val="center"/>
            </w:pPr>
            <w:r>
              <w:t>33</w:t>
            </w:r>
          </w:p>
        </w:tc>
      </w:tr>
      <w:tr w:rsidR="00846D9A" w:rsidRPr="003B79F2" w14:paraId="43C9E2A0" w14:textId="77777777" w:rsidTr="000F09AF">
        <w:tc>
          <w:tcPr>
            <w:tcW w:w="1992" w:type="dxa"/>
          </w:tcPr>
          <w:p w14:paraId="71F114F1" w14:textId="77777777" w:rsidR="00846D9A" w:rsidRPr="003B79F2" w:rsidRDefault="00846D9A" w:rsidP="000F09AF">
            <w:r w:rsidRPr="003B79F2">
              <w:t>$10,000-$99,999</w:t>
            </w:r>
          </w:p>
        </w:tc>
        <w:tc>
          <w:tcPr>
            <w:tcW w:w="1920" w:type="dxa"/>
          </w:tcPr>
          <w:p w14:paraId="48BD4D13" w14:textId="77777777" w:rsidR="00846D9A" w:rsidRPr="003B79F2" w:rsidRDefault="00846D9A" w:rsidP="000F09AF">
            <w:pPr>
              <w:jc w:val="center"/>
            </w:pPr>
            <w:r>
              <w:t>0</w:t>
            </w:r>
          </w:p>
        </w:tc>
        <w:tc>
          <w:tcPr>
            <w:tcW w:w="2023" w:type="dxa"/>
          </w:tcPr>
          <w:p w14:paraId="21429E8E" w14:textId="77777777" w:rsidR="00846D9A" w:rsidRPr="003B79F2" w:rsidRDefault="00846D9A" w:rsidP="000F09AF">
            <w:pPr>
              <w:jc w:val="center"/>
            </w:pPr>
            <w:r>
              <w:t>14</w:t>
            </w:r>
          </w:p>
        </w:tc>
        <w:tc>
          <w:tcPr>
            <w:tcW w:w="1632" w:type="dxa"/>
          </w:tcPr>
          <w:p w14:paraId="13C98076" w14:textId="77777777" w:rsidR="00846D9A" w:rsidRPr="003B79F2" w:rsidRDefault="00846D9A" w:rsidP="000F09AF">
            <w:pPr>
              <w:jc w:val="center"/>
            </w:pPr>
            <w:r>
              <w:t>30</w:t>
            </w:r>
          </w:p>
        </w:tc>
        <w:tc>
          <w:tcPr>
            <w:tcW w:w="1783" w:type="dxa"/>
          </w:tcPr>
          <w:p w14:paraId="3451DE4C" w14:textId="77777777" w:rsidR="00846D9A" w:rsidRPr="003B79F2" w:rsidRDefault="00846D9A" w:rsidP="000F09AF">
            <w:pPr>
              <w:jc w:val="center"/>
            </w:pPr>
            <w:r>
              <w:t>44</w:t>
            </w:r>
          </w:p>
        </w:tc>
      </w:tr>
      <w:tr w:rsidR="00846D9A" w:rsidRPr="003B79F2" w14:paraId="58326CC7" w14:textId="77777777" w:rsidTr="000F09AF">
        <w:tc>
          <w:tcPr>
            <w:tcW w:w="1992" w:type="dxa"/>
          </w:tcPr>
          <w:p w14:paraId="3307E5DF" w14:textId="77777777" w:rsidR="00846D9A" w:rsidRPr="003B79F2" w:rsidRDefault="00846D9A" w:rsidP="000F09AF">
            <w:r w:rsidRPr="003B79F2">
              <w:t>$1,000-$9,999</w:t>
            </w:r>
          </w:p>
        </w:tc>
        <w:tc>
          <w:tcPr>
            <w:tcW w:w="1920" w:type="dxa"/>
          </w:tcPr>
          <w:p w14:paraId="510A7C5E" w14:textId="77777777" w:rsidR="00846D9A" w:rsidRPr="003B79F2" w:rsidRDefault="00846D9A" w:rsidP="000F09AF">
            <w:pPr>
              <w:jc w:val="center"/>
            </w:pPr>
            <w:r>
              <w:t>10</w:t>
            </w:r>
          </w:p>
        </w:tc>
        <w:tc>
          <w:tcPr>
            <w:tcW w:w="2023" w:type="dxa"/>
          </w:tcPr>
          <w:p w14:paraId="1A52129E" w14:textId="77777777" w:rsidR="00846D9A" w:rsidRPr="003B79F2" w:rsidRDefault="00846D9A" w:rsidP="000F09AF">
            <w:pPr>
              <w:jc w:val="center"/>
            </w:pPr>
            <w:r>
              <w:t>67</w:t>
            </w:r>
          </w:p>
        </w:tc>
        <w:tc>
          <w:tcPr>
            <w:tcW w:w="1632" w:type="dxa"/>
          </w:tcPr>
          <w:p w14:paraId="59A10386" w14:textId="77777777" w:rsidR="00846D9A" w:rsidRPr="003B79F2" w:rsidRDefault="00846D9A" w:rsidP="000F09AF">
            <w:pPr>
              <w:jc w:val="center"/>
            </w:pPr>
            <w:r>
              <w:t>25</w:t>
            </w:r>
          </w:p>
        </w:tc>
        <w:tc>
          <w:tcPr>
            <w:tcW w:w="1783" w:type="dxa"/>
          </w:tcPr>
          <w:p w14:paraId="11111A80" w14:textId="77777777" w:rsidR="00846D9A" w:rsidRPr="003B79F2" w:rsidRDefault="00846D9A" w:rsidP="000F09AF">
            <w:pPr>
              <w:jc w:val="center"/>
            </w:pPr>
            <w:r>
              <w:t>102</w:t>
            </w:r>
          </w:p>
        </w:tc>
      </w:tr>
      <w:tr w:rsidR="00846D9A" w:rsidRPr="003B79F2" w14:paraId="29AECEC9" w14:textId="77777777" w:rsidTr="000F09AF">
        <w:tc>
          <w:tcPr>
            <w:tcW w:w="1992" w:type="dxa"/>
          </w:tcPr>
          <w:p w14:paraId="2183E4B0" w14:textId="77777777" w:rsidR="00846D9A" w:rsidRPr="003B79F2" w:rsidRDefault="00846D9A" w:rsidP="000F09AF">
            <w:r w:rsidRPr="003B79F2">
              <w:t>Less than $1,000</w:t>
            </w:r>
          </w:p>
        </w:tc>
        <w:tc>
          <w:tcPr>
            <w:tcW w:w="1920" w:type="dxa"/>
          </w:tcPr>
          <w:p w14:paraId="5BE8F7F9" w14:textId="77777777" w:rsidR="00846D9A" w:rsidRPr="003B79F2" w:rsidRDefault="00846D9A" w:rsidP="000F09AF">
            <w:pPr>
              <w:jc w:val="center"/>
            </w:pPr>
            <w:r>
              <w:t>226</w:t>
            </w:r>
          </w:p>
        </w:tc>
        <w:tc>
          <w:tcPr>
            <w:tcW w:w="2023" w:type="dxa"/>
          </w:tcPr>
          <w:p w14:paraId="137DE29A" w14:textId="77777777" w:rsidR="00846D9A" w:rsidRPr="003B79F2" w:rsidRDefault="00846D9A" w:rsidP="000F09AF">
            <w:pPr>
              <w:jc w:val="center"/>
            </w:pPr>
            <w:r>
              <w:t>440</w:t>
            </w:r>
          </w:p>
        </w:tc>
        <w:tc>
          <w:tcPr>
            <w:tcW w:w="1632" w:type="dxa"/>
          </w:tcPr>
          <w:p w14:paraId="5F6AEAEF" w14:textId="77777777" w:rsidR="00846D9A" w:rsidRPr="003B79F2" w:rsidRDefault="00846D9A" w:rsidP="000F09AF">
            <w:pPr>
              <w:jc w:val="center"/>
            </w:pPr>
            <w:r>
              <w:t>16</w:t>
            </w:r>
          </w:p>
        </w:tc>
        <w:tc>
          <w:tcPr>
            <w:tcW w:w="1783" w:type="dxa"/>
          </w:tcPr>
          <w:p w14:paraId="23C3CD7C" w14:textId="77777777" w:rsidR="00846D9A" w:rsidRPr="003B79F2" w:rsidRDefault="00846D9A" w:rsidP="000F09AF">
            <w:pPr>
              <w:jc w:val="center"/>
            </w:pPr>
            <w:r>
              <w:t>682</w:t>
            </w:r>
          </w:p>
        </w:tc>
      </w:tr>
      <w:tr w:rsidR="00846D9A" w:rsidRPr="003B79F2" w14:paraId="2717A9AC" w14:textId="77777777" w:rsidTr="000F09AF">
        <w:tc>
          <w:tcPr>
            <w:tcW w:w="1992" w:type="dxa"/>
            <w:shd w:val="clear" w:color="auto" w:fill="D9D9D9" w:themeFill="background1" w:themeFillShade="D9"/>
          </w:tcPr>
          <w:p w14:paraId="323FCC76" w14:textId="77777777" w:rsidR="00846D9A" w:rsidRPr="003B79F2" w:rsidRDefault="00846D9A" w:rsidP="000F09AF">
            <w:pPr>
              <w:rPr>
                <w:b/>
                <w:bCs/>
              </w:rPr>
            </w:pPr>
            <w:r w:rsidRPr="003B79F2">
              <w:rPr>
                <w:b/>
                <w:bCs/>
              </w:rPr>
              <w:t>Total</w:t>
            </w:r>
          </w:p>
        </w:tc>
        <w:tc>
          <w:tcPr>
            <w:tcW w:w="1920" w:type="dxa"/>
            <w:shd w:val="clear" w:color="auto" w:fill="D9D9D9" w:themeFill="background1" w:themeFillShade="D9"/>
          </w:tcPr>
          <w:p w14:paraId="5493A3BB" w14:textId="77777777" w:rsidR="00846D9A" w:rsidRPr="003B79F2" w:rsidRDefault="00846D9A" w:rsidP="000F09AF">
            <w:pPr>
              <w:jc w:val="center"/>
              <w:rPr>
                <w:b/>
                <w:bCs/>
              </w:rPr>
            </w:pPr>
            <w:r>
              <w:rPr>
                <w:b/>
                <w:bCs/>
              </w:rPr>
              <w:t>237</w:t>
            </w:r>
          </w:p>
        </w:tc>
        <w:tc>
          <w:tcPr>
            <w:tcW w:w="2023" w:type="dxa"/>
            <w:shd w:val="clear" w:color="auto" w:fill="D9D9D9" w:themeFill="background1" w:themeFillShade="D9"/>
          </w:tcPr>
          <w:p w14:paraId="3EFD271B" w14:textId="77777777" w:rsidR="00846D9A" w:rsidRPr="003B79F2" w:rsidRDefault="00846D9A" w:rsidP="000F09AF">
            <w:pPr>
              <w:jc w:val="center"/>
              <w:rPr>
                <w:b/>
                <w:bCs/>
              </w:rPr>
            </w:pPr>
            <w:r>
              <w:rPr>
                <w:b/>
                <w:bCs/>
              </w:rPr>
              <w:t>531</w:t>
            </w:r>
          </w:p>
        </w:tc>
        <w:tc>
          <w:tcPr>
            <w:tcW w:w="1632" w:type="dxa"/>
            <w:shd w:val="clear" w:color="auto" w:fill="D9D9D9" w:themeFill="background1" w:themeFillShade="D9"/>
          </w:tcPr>
          <w:p w14:paraId="10D21F69" w14:textId="77777777" w:rsidR="00846D9A" w:rsidRPr="003B79F2" w:rsidRDefault="00846D9A" w:rsidP="000F09AF">
            <w:pPr>
              <w:jc w:val="center"/>
              <w:rPr>
                <w:b/>
                <w:bCs/>
              </w:rPr>
            </w:pPr>
            <w:r>
              <w:rPr>
                <w:b/>
                <w:bCs/>
              </w:rPr>
              <w:t>101</w:t>
            </w:r>
          </w:p>
        </w:tc>
        <w:tc>
          <w:tcPr>
            <w:tcW w:w="1783" w:type="dxa"/>
            <w:shd w:val="clear" w:color="auto" w:fill="D9D9D9" w:themeFill="background1" w:themeFillShade="D9"/>
          </w:tcPr>
          <w:p w14:paraId="680BC87F" w14:textId="77777777" w:rsidR="00846D9A" w:rsidRPr="003B79F2" w:rsidRDefault="00846D9A" w:rsidP="000F09AF">
            <w:pPr>
              <w:jc w:val="center"/>
              <w:rPr>
                <w:b/>
                <w:bCs/>
              </w:rPr>
            </w:pPr>
            <w:r>
              <w:rPr>
                <w:b/>
                <w:bCs/>
              </w:rPr>
              <w:t>869</w:t>
            </w:r>
          </w:p>
        </w:tc>
      </w:tr>
    </w:tbl>
    <w:p w14:paraId="507F5798" w14:textId="77777777" w:rsidR="00846D9A" w:rsidRDefault="00846D9A"/>
    <w:p w14:paraId="30EF8F61" w14:textId="31ED7F35" w:rsidR="00846D9A" w:rsidRDefault="00846D9A" w:rsidP="00846D9A">
      <w:r w:rsidRPr="00294C44">
        <w:t xml:space="preserve">There are </w:t>
      </w:r>
      <w:r>
        <w:t>2,815</w:t>
      </w:r>
      <w:r w:rsidRPr="00294C44">
        <w:t xml:space="preserve"> </w:t>
      </w:r>
      <w:r w:rsidR="00A857C6">
        <w:t>SUBW</w:t>
      </w:r>
      <w:r w:rsidRPr="00294C44">
        <w:t xml:space="preserve"> alumni in this pool, </w:t>
      </w:r>
      <w:r>
        <w:t>2,578</w:t>
      </w:r>
      <w:r w:rsidRPr="00294C44">
        <w:t xml:space="preserve"> of whom have never made a gift to </w:t>
      </w:r>
      <w:r>
        <w:t xml:space="preserve">the </w:t>
      </w:r>
      <w:r w:rsidR="00A857C6">
        <w:t>SUBW</w:t>
      </w:r>
      <w:r>
        <w:t xml:space="preserve"> (91%).  Acquisition efforts around this alumni pool could help build the donor base.  Of the alumni who are not also donors to </w:t>
      </w:r>
      <w:r w:rsidR="00A857C6">
        <w:t>SUBW</w:t>
      </w:r>
      <w:r>
        <w:t>, 234 have giving to CU, 1 in the lifetime $100,000-$999,999 band and 4 in the $10,000-$99,999 band.  112 non-</w:t>
      </w:r>
      <w:r w:rsidR="00A857C6">
        <w:t>SUBW</w:t>
      </w:r>
      <w:r>
        <w:t xml:space="preserve"> donor alumni have giving elsewhere </w:t>
      </w:r>
      <w:r w:rsidR="00A857C6">
        <w:t>at CU</w:t>
      </w:r>
      <w:r>
        <w:t>.</w:t>
      </w:r>
    </w:p>
    <w:tbl>
      <w:tblPr>
        <w:tblStyle w:val="TableGrid"/>
        <w:tblW w:w="7105" w:type="dxa"/>
        <w:jc w:val="center"/>
        <w:tblLook w:val="04A0" w:firstRow="1" w:lastRow="0" w:firstColumn="1" w:lastColumn="0" w:noHBand="0" w:noVBand="1"/>
      </w:tblPr>
      <w:tblGrid>
        <w:gridCol w:w="1832"/>
        <w:gridCol w:w="1583"/>
        <w:gridCol w:w="1080"/>
        <w:gridCol w:w="1530"/>
        <w:gridCol w:w="1080"/>
      </w:tblGrid>
      <w:tr w:rsidR="00A857C6" w:rsidRPr="00A00B20" w14:paraId="5571B045" w14:textId="77777777" w:rsidTr="00A857C6">
        <w:trPr>
          <w:jc w:val="center"/>
        </w:trPr>
        <w:tc>
          <w:tcPr>
            <w:tcW w:w="1832" w:type="dxa"/>
            <w:vMerge w:val="restart"/>
            <w:shd w:val="clear" w:color="auto" w:fill="D9D9D9" w:themeFill="background1" w:themeFillShade="D9"/>
          </w:tcPr>
          <w:p w14:paraId="715C3B8D" w14:textId="77777777" w:rsidR="00A857C6" w:rsidRPr="00D41050" w:rsidRDefault="00A857C6" w:rsidP="000F09AF">
            <w:pPr>
              <w:rPr>
                <w:b/>
              </w:rPr>
            </w:pPr>
            <w:r w:rsidRPr="00D41050">
              <w:rPr>
                <w:b/>
              </w:rPr>
              <w:t>Lifetime Giving Range</w:t>
            </w:r>
          </w:p>
        </w:tc>
        <w:tc>
          <w:tcPr>
            <w:tcW w:w="2663" w:type="dxa"/>
            <w:gridSpan w:val="2"/>
            <w:shd w:val="clear" w:color="auto" w:fill="D9D9D9" w:themeFill="background1" w:themeFillShade="D9"/>
          </w:tcPr>
          <w:p w14:paraId="7A657CB7" w14:textId="77777777" w:rsidR="00A857C6" w:rsidRPr="00A00B20" w:rsidRDefault="00A857C6" w:rsidP="000F09AF">
            <w:pPr>
              <w:jc w:val="center"/>
              <w:rPr>
                <w:b/>
              </w:rPr>
            </w:pPr>
            <w:r w:rsidRPr="00A00B20">
              <w:rPr>
                <w:b/>
              </w:rPr>
              <w:t>Giving to CU</w:t>
            </w:r>
          </w:p>
        </w:tc>
        <w:tc>
          <w:tcPr>
            <w:tcW w:w="2610" w:type="dxa"/>
            <w:gridSpan w:val="2"/>
            <w:shd w:val="clear" w:color="auto" w:fill="D9D9D9" w:themeFill="background1" w:themeFillShade="D9"/>
          </w:tcPr>
          <w:p w14:paraId="032FA24A" w14:textId="7A9EBC14" w:rsidR="00A857C6" w:rsidRPr="00A00B20" w:rsidRDefault="00A857C6" w:rsidP="00A857C6">
            <w:pPr>
              <w:rPr>
                <w:b/>
              </w:rPr>
            </w:pPr>
            <w:r w:rsidRPr="00A00B20">
              <w:rPr>
                <w:b/>
              </w:rPr>
              <w:t xml:space="preserve">Giving to </w:t>
            </w:r>
            <w:r>
              <w:rPr>
                <w:b/>
              </w:rPr>
              <w:t>Basket Weaving</w:t>
            </w:r>
          </w:p>
        </w:tc>
      </w:tr>
      <w:tr w:rsidR="00A857C6" w:rsidRPr="00A00B20" w14:paraId="10C4CB81" w14:textId="77777777" w:rsidTr="00A857C6">
        <w:trPr>
          <w:jc w:val="center"/>
        </w:trPr>
        <w:tc>
          <w:tcPr>
            <w:tcW w:w="1832" w:type="dxa"/>
            <w:vMerge/>
            <w:shd w:val="clear" w:color="auto" w:fill="D9D9D9" w:themeFill="background1" w:themeFillShade="D9"/>
          </w:tcPr>
          <w:p w14:paraId="05843A8A" w14:textId="77777777" w:rsidR="00A857C6" w:rsidRPr="00D41050" w:rsidRDefault="00A857C6" w:rsidP="000F09AF">
            <w:pPr>
              <w:rPr>
                <w:b/>
              </w:rPr>
            </w:pPr>
          </w:p>
        </w:tc>
        <w:tc>
          <w:tcPr>
            <w:tcW w:w="1583" w:type="dxa"/>
            <w:shd w:val="clear" w:color="auto" w:fill="D9D9D9" w:themeFill="background1" w:themeFillShade="D9"/>
          </w:tcPr>
          <w:p w14:paraId="3CC660BA" w14:textId="77777777" w:rsidR="00A857C6" w:rsidRPr="00A00B20" w:rsidRDefault="00A857C6" w:rsidP="000F09AF">
            <w:pPr>
              <w:rPr>
                <w:b/>
              </w:rPr>
            </w:pPr>
            <w:r w:rsidRPr="00A00B20">
              <w:rPr>
                <w:b/>
              </w:rPr>
              <w:t># of Prospects</w:t>
            </w:r>
          </w:p>
        </w:tc>
        <w:tc>
          <w:tcPr>
            <w:tcW w:w="1080" w:type="dxa"/>
            <w:shd w:val="clear" w:color="auto" w:fill="D9D9D9" w:themeFill="background1" w:themeFillShade="D9"/>
          </w:tcPr>
          <w:p w14:paraId="217999F0" w14:textId="77777777" w:rsidR="00A857C6" w:rsidRPr="00A00B20" w:rsidRDefault="00A857C6" w:rsidP="000F09AF">
            <w:pPr>
              <w:rPr>
                <w:b/>
              </w:rPr>
            </w:pPr>
            <w:r w:rsidRPr="00A00B20">
              <w:rPr>
                <w:b/>
              </w:rPr>
              <w:t>% of Pool</w:t>
            </w:r>
          </w:p>
        </w:tc>
        <w:tc>
          <w:tcPr>
            <w:tcW w:w="1530" w:type="dxa"/>
            <w:shd w:val="clear" w:color="auto" w:fill="D9D9D9" w:themeFill="background1" w:themeFillShade="D9"/>
          </w:tcPr>
          <w:p w14:paraId="72087411" w14:textId="77777777" w:rsidR="00A857C6" w:rsidRPr="00A00B20" w:rsidRDefault="00A857C6" w:rsidP="000F09AF">
            <w:pPr>
              <w:rPr>
                <w:b/>
              </w:rPr>
            </w:pPr>
            <w:r w:rsidRPr="00A00B20">
              <w:rPr>
                <w:b/>
              </w:rPr>
              <w:t># of Prospects</w:t>
            </w:r>
          </w:p>
        </w:tc>
        <w:tc>
          <w:tcPr>
            <w:tcW w:w="1080" w:type="dxa"/>
            <w:shd w:val="clear" w:color="auto" w:fill="D9D9D9" w:themeFill="background1" w:themeFillShade="D9"/>
          </w:tcPr>
          <w:p w14:paraId="4959B014" w14:textId="77777777" w:rsidR="00A857C6" w:rsidRPr="00A00B20" w:rsidRDefault="00A857C6" w:rsidP="000F09AF">
            <w:pPr>
              <w:jc w:val="right"/>
              <w:rPr>
                <w:b/>
              </w:rPr>
            </w:pPr>
            <w:r w:rsidRPr="00A00B20">
              <w:rPr>
                <w:b/>
              </w:rPr>
              <w:t>% of Pool</w:t>
            </w:r>
          </w:p>
        </w:tc>
      </w:tr>
      <w:tr w:rsidR="00A857C6" w:rsidRPr="00A00B20" w14:paraId="3E7E9FCE" w14:textId="77777777" w:rsidTr="00A857C6">
        <w:trPr>
          <w:jc w:val="center"/>
        </w:trPr>
        <w:tc>
          <w:tcPr>
            <w:tcW w:w="1832" w:type="dxa"/>
          </w:tcPr>
          <w:p w14:paraId="68BFDE57" w14:textId="77777777" w:rsidR="00A857C6" w:rsidRPr="00D41050" w:rsidRDefault="00A857C6" w:rsidP="000F09AF">
            <w:r w:rsidRPr="00D41050">
              <w:t>$1,000,000+</w:t>
            </w:r>
          </w:p>
        </w:tc>
        <w:tc>
          <w:tcPr>
            <w:tcW w:w="1583" w:type="dxa"/>
          </w:tcPr>
          <w:p w14:paraId="23C19E94" w14:textId="77777777" w:rsidR="00A857C6" w:rsidRPr="00A00B20" w:rsidRDefault="00A857C6" w:rsidP="000F09AF">
            <w:pPr>
              <w:jc w:val="center"/>
            </w:pPr>
            <w:r>
              <w:t>33</w:t>
            </w:r>
          </w:p>
        </w:tc>
        <w:tc>
          <w:tcPr>
            <w:tcW w:w="1080" w:type="dxa"/>
          </w:tcPr>
          <w:p w14:paraId="55ED479D" w14:textId="77777777" w:rsidR="00A857C6" w:rsidRPr="00A00B20" w:rsidRDefault="00A857C6" w:rsidP="000F09AF">
            <w:pPr>
              <w:jc w:val="right"/>
              <w:rPr>
                <w:bCs/>
              </w:rPr>
            </w:pPr>
            <w:r w:rsidRPr="00A00B20">
              <w:rPr>
                <w:bCs/>
              </w:rPr>
              <w:t>0.</w:t>
            </w:r>
            <w:r>
              <w:rPr>
                <w:bCs/>
              </w:rPr>
              <w:t>9</w:t>
            </w:r>
            <w:r w:rsidRPr="00A00B20">
              <w:rPr>
                <w:bCs/>
              </w:rPr>
              <w:t>6%</w:t>
            </w:r>
          </w:p>
        </w:tc>
        <w:tc>
          <w:tcPr>
            <w:tcW w:w="1530" w:type="dxa"/>
          </w:tcPr>
          <w:p w14:paraId="140FA0D4" w14:textId="77777777" w:rsidR="00A857C6" w:rsidRPr="00A00B20" w:rsidRDefault="00A857C6" w:rsidP="000F09AF">
            <w:pPr>
              <w:jc w:val="center"/>
            </w:pPr>
            <w:r>
              <w:t>8</w:t>
            </w:r>
          </w:p>
        </w:tc>
        <w:tc>
          <w:tcPr>
            <w:tcW w:w="1080" w:type="dxa"/>
          </w:tcPr>
          <w:p w14:paraId="36999F3C" w14:textId="77777777" w:rsidR="00A857C6" w:rsidRPr="00A00B20" w:rsidRDefault="00A857C6" w:rsidP="000F09AF">
            <w:pPr>
              <w:jc w:val="right"/>
              <w:rPr>
                <w:bCs/>
              </w:rPr>
            </w:pPr>
            <w:r>
              <w:rPr>
                <w:bCs/>
              </w:rPr>
              <w:t>0.23</w:t>
            </w:r>
            <w:r w:rsidRPr="00A00B20">
              <w:rPr>
                <w:bCs/>
              </w:rPr>
              <w:t>%</w:t>
            </w:r>
          </w:p>
        </w:tc>
      </w:tr>
      <w:tr w:rsidR="00A857C6" w:rsidRPr="00A00B20" w14:paraId="1ED87CFD" w14:textId="77777777" w:rsidTr="00A857C6">
        <w:trPr>
          <w:jc w:val="center"/>
        </w:trPr>
        <w:tc>
          <w:tcPr>
            <w:tcW w:w="1832" w:type="dxa"/>
          </w:tcPr>
          <w:p w14:paraId="1AC587F7" w14:textId="77777777" w:rsidR="00A857C6" w:rsidRPr="00D41050" w:rsidRDefault="00A857C6" w:rsidP="000F09AF">
            <w:r w:rsidRPr="00D41050">
              <w:t>$100,000-$999,999</w:t>
            </w:r>
          </w:p>
        </w:tc>
        <w:tc>
          <w:tcPr>
            <w:tcW w:w="1583" w:type="dxa"/>
          </w:tcPr>
          <w:p w14:paraId="26FDD850" w14:textId="77777777" w:rsidR="00A857C6" w:rsidRPr="00A00B20" w:rsidRDefault="00A857C6" w:rsidP="000F09AF">
            <w:pPr>
              <w:jc w:val="center"/>
            </w:pPr>
            <w:r>
              <w:t>42</w:t>
            </w:r>
          </w:p>
        </w:tc>
        <w:tc>
          <w:tcPr>
            <w:tcW w:w="1080" w:type="dxa"/>
          </w:tcPr>
          <w:p w14:paraId="736036C6" w14:textId="77777777" w:rsidR="00A857C6" w:rsidRPr="00A00B20" w:rsidRDefault="00A857C6" w:rsidP="000F09AF">
            <w:pPr>
              <w:jc w:val="right"/>
              <w:rPr>
                <w:bCs/>
              </w:rPr>
            </w:pPr>
            <w:r>
              <w:rPr>
                <w:bCs/>
              </w:rPr>
              <w:t>1.22</w:t>
            </w:r>
            <w:r w:rsidRPr="00A00B20">
              <w:rPr>
                <w:bCs/>
              </w:rPr>
              <w:t>%</w:t>
            </w:r>
          </w:p>
        </w:tc>
        <w:tc>
          <w:tcPr>
            <w:tcW w:w="1530" w:type="dxa"/>
          </w:tcPr>
          <w:p w14:paraId="0B1B5CD3" w14:textId="77777777" w:rsidR="00A857C6" w:rsidRPr="00A00B20" w:rsidRDefault="00A857C6" w:rsidP="000F09AF">
            <w:pPr>
              <w:jc w:val="center"/>
            </w:pPr>
            <w:r>
              <w:t>33</w:t>
            </w:r>
          </w:p>
        </w:tc>
        <w:tc>
          <w:tcPr>
            <w:tcW w:w="1080" w:type="dxa"/>
          </w:tcPr>
          <w:p w14:paraId="33C4C579" w14:textId="77777777" w:rsidR="00A857C6" w:rsidRPr="00A00B20" w:rsidRDefault="00A857C6" w:rsidP="000F09AF">
            <w:pPr>
              <w:jc w:val="right"/>
              <w:rPr>
                <w:bCs/>
              </w:rPr>
            </w:pPr>
            <w:r>
              <w:rPr>
                <w:bCs/>
              </w:rPr>
              <w:t>0.96</w:t>
            </w:r>
            <w:r w:rsidRPr="00A00B20">
              <w:rPr>
                <w:bCs/>
              </w:rPr>
              <w:t>%</w:t>
            </w:r>
          </w:p>
        </w:tc>
      </w:tr>
      <w:tr w:rsidR="00A857C6" w:rsidRPr="00A00B20" w14:paraId="6C9F8BC6" w14:textId="77777777" w:rsidTr="00A857C6">
        <w:trPr>
          <w:jc w:val="center"/>
        </w:trPr>
        <w:tc>
          <w:tcPr>
            <w:tcW w:w="1832" w:type="dxa"/>
          </w:tcPr>
          <w:p w14:paraId="723FBB11" w14:textId="77777777" w:rsidR="00A857C6" w:rsidRPr="00D41050" w:rsidRDefault="00A857C6" w:rsidP="000F09AF">
            <w:r w:rsidRPr="00D41050">
              <w:t>$10,000-$99,999</w:t>
            </w:r>
          </w:p>
        </w:tc>
        <w:tc>
          <w:tcPr>
            <w:tcW w:w="1583" w:type="dxa"/>
          </w:tcPr>
          <w:p w14:paraId="11F86E1E" w14:textId="77777777" w:rsidR="00A857C6" w:rsidRPr="00A00B20" w:rsidRDefault="00A857C6" w:rsidP="000F09AF">
            <w:pPr>
              <w:jc w:val="center"/>
            </w:pPr>
            <w:r>
              <w:t>51</w:t>
            </w:r>
          </w:p>
        </w:tc>
        <w:tc>
          <w:tcPr>
            <w:tcW w:w="1080" w:type="dxa"/>
          </w:tcPr>
          <w:p w14:paraId="02A540F4" w14:textId="77777777" w:rsidR="00A857C6" w:rsidRPr="00A00B20" w:rsidRDefault="00A857C6" w:rsidP="000F09AF">
            <w:pPr>
              <w:jc w:val="right"/>
              <w:rPr>
                <w:bCs/>
              </w:rPr>
            </w:pPr>
            <w:r w:rsidRPr="00A00B20">
              <w:rPr>
                <w:bCs/>
              </w:rPr>
              <w:t>1.</w:t>
            </w:r>
            <w:r>
              <w:rPr>
                <w:bCs/>
              </w:rPr>
              <w:t>48</w:t>
            </w:r>
            <w:r w:rsidRPr="00A00B20">
              <w:rPr>
                <w:bCs/>
              </w:rPr>
              <w:t>%</w:t>
            </w:r>
          </w:p>
        </w:tc>
        <w:tc>
          <w:tcPr>
            <w:tcW w:w="1530" w:type="dxa"/>
          </w:tcPr>
          <w:p w14:paraId="6BD8DEFC" w14:textId="77777777" w:rsidR="00A857C6" w:rsidRPr="00A00B20" w:rsidRDefault="00A857C6" w:rsidP="000F09AF">
            <w:pPr>
              <w:jc w:val="center"/>
            </w:pPr>
            <w:r>
              <w:t>44</w:t>
            </w:r>
          </w:p>
        </w:tc>
        <w:tc>
          <w:tcPr>
            <w:tcW w:w="1080" w:type="dxa"/>
          </w:tcPr>
          <w:p w14:paraId="79EF4E66" w14:textId="77777777" w:rsidR="00A857C6" w:rsidRPr="00A00B20" w:rsidRDefault="00A857C6" w:rsidP="000F09AF">
            <w:pPr>
              <w:jc w:val="right"/>
              <w:rPr>
                <w:bCs/>
              </w:rPr>
            </w:pPr>
            <w:r>
              <w:rPr>
                <w:bCs/>
              </w:rPr>
              <w:t>1.28</w:t>
            </w:r>
            <w:r w:rsidRPr="00A00B20">
              <w:rPr>
                <w:bCs/>
              </w:rPr>
              <w:t>%</w:t>
            </w:r>
          </w:p>
        </w:tc>
      </w:tr>
      <w:tr w:rsidR="00A857C6" w:rsidRPr="00A00B20" w14:paraId="508AA693" w14:textId="77777777" w:rsidTr="00A857C6">
        <w:trPr>
          <w:jc w:val="center"/>
        </w:trPr>
        <w:tc>
          <w:tcPr>
            <w:tcW w:w="1832" w:type="dxa"/>
          </w:tcPr>
          <w:p w14:paraId="3FC21A59" w14:textId="77777777" w:rsidR="00A857C6" w:rsidRPr="00D41050" w:rsidRDefault="00A857C6" w:rsidP="000F09AF">
            <w:r w:rsidRPr="00D41050">
              <w:t>$1,000-$9,999</w:t>
            </w:r>
          </w:p>
        </w:tc>
        <w:tc>
          <w:tcPr>
            <w:tcW w:w="1583" w:type="dxa"/>
          </w:tcPr>
          <w:p w14:paraId="1479A612" w14:textId="77777777" w:rsidR="00A857C6" w:rsidRPr="00A00B20" w:rsidRDefault="00A857C6" w:rsidP="000F09AF">
            <w:pPr>
              <w:jc w:val="center"/>
            </w:pPr>
            <w:r>
              <w:t>134</w:t>
            </w:r>
          </w:p>
        </w:tc>
        <w:tc>
          <w:tcPr>
            <w:tcW w:w="1080" w:type="dxa"/>
          </w:tcPr>
          <w:p w14:paraId="19E4BCEF" w14:textId="77777777" w:rsidR="00A857C6" w:rsidRPr="00A00B20" w:rsidRDefault="00A857C6" w:rsidP="000F09AF">
            <w:pPr>
              <w:jc w:val="right"/>
              <w:rPr>
                <w:bCs/>
              </w:rPr>
            </w:pPr>
            <w:r>
              <w:rPr>
                <w:bCs/>
              </w:rPr>
              <w:t>3.89</w:t>
            </w:r>
            <w:r w:rsidRPr="00A00B20">
              <w:rPr>
                <w:bCs/>
              </w:rPr>
              <w:t>%</w:t>
            </w:r>
          </w:p>
        </w:tc>
        <w:tc>
          <w:tcPr>
            <w:tcW w:w="1530" w:type="dxa"/>
          </w:tcPr>
          <w:p w14:paraId="1C0D27CF" w14:textId="77777777" w:rsidR="00A857C6" w:rsidRPr="00A00B20" w:rsidRDefault="00A857C6" w:rsidP="000F09AF">
            <w:pPr>
              <w:jc w:val="center"/>
            </w:pPr>
            <w:r>
              <w:t>102</w:t>
            </w:r>
          </w:p>
        </w:tc>
        <w:tc>
          <w:tcPr>
            <w:tcW w:w="1080" w:type="dxa"/>
          </w:tcPr>
          <w:p w14:paraId="3FBCFEE0" w14:textId="77777777" w:rsidR="00A857C6" w:rsidRPr="00A00B20" w:rsidRDefault="00A857C6" w:rsidP="000F09AF">
            <w:pPr>
              <w:jc w:val="right"/>
              <w:rPr>
                <w:bCs/>
              </w:rPr>
            </w:pPr>
            <w:r>
              <w:rPr>
                <w:bCs/>
              </w:rPr>
              <w:t>2.96</w:t>
            </w:r>
            <w:r w:rsidRPr="00A00B20">
              <w:rPr>
                <w:bCs/>
              </w:rPr>
              <w:t>%</w:t>
            </w:r>
          </w:p>
        </w:tc>
      </w:tr>
      <w:tr w:rsidR="00A857C6" w:rsidRPr="00A00B20" w14:paraId="1311B565" w14:textId="77777777" w:rsidTr="00A857C6">
        <w:trPr>
          <w:jc w:val="center"/>
        </w:trPr>
        <w:tc>
          <w:tcPr>
            <w:tcW w:w="1832" w:type="dxa"/>
          </w:tcPr>
          <w:p w14:paraId="72252F04" w14:textId="77777777" w:rsidR="00A857C6" w:rsidRPr="00D41050" w:rsidRDefault="00A857C6" w:rsidP="000F09AF">
            <w:r w:rsidRPr="00D41050">
              <w:t>Less than $1,000</w:t>
            </w:r>
          </w:p>
        </w:tc>
        <w:tc>
          <w:tcPr>
            <w:tcW w:w="1583" w:type="dxa"/>
          </w:tcPr>
          <w:p w14:paraId="17898F96" w14:textId="77777777" w:rsidR="00A857C6" w:rsidRPr="00A00B20" w:rsidRDefault="00A857C6" w:rsidP="000F09AF">
            <w:pPr>
              <w:jc w:val="center"/>
            </w:pPr>
            <w:r>
              <w:t>843</w:t>
            </w:r>
          </w:p>
        </w:tc>
        <w:tc>
          <w:tcPr>
            <w:tcW w:w="1080" w:type="dxa"/>
          </w:tcPr>
          <w:p w14:paraId="13562CF6" w14:textId="77777777" w:rsidR="00A857C6" w:rsidRPr="00A00B20" w:rsidRDefault="00A857C6" w:rsidP="000F09AF">
            <w:pPr>
              <w:jc w:val="right"/>
              <w:rPr>
                <w:bCs/>
              </w:rPr>
            </w:pPr>
            <w:r w:rsidRPr="00A00B20">
              <w:rPr>
                <w:bCs/>
              </w:rPr>
              <w:t>2</w:t>
            </w:r>
            <w:r>
              <w:rPr>
                <w:bCs/>
              </w:rPr>
              <w:t>4.45</w:t>
            </w:r>
            <w:r w:rsidRPr="00A00B20">
              <w:rPr>
                <w:bCs/>
              </w:rPr>
              <w:t>%</w:t>
            </w:r>
          </w:p>
        </w:tc>
        <w:tc>
          <w:tcPr>
            <w:tcW w:w="1530" w:type="dxa"/>
          </w:tcPr>
          <w:p w14:paraId="5CB7C0F6" w14:textId="77777777" w:rsidR="00A857C6" w:rsidRPr="00A00B20" w:rsidRDefault="00A857C6" w:rsidP="000F09AF">
            <w:pPr>
              <w:jc w:val="center"/>
            </w:pPr>
            <w:r>
              <w:t>682</w:t>
            </w:r>
          </w:p>
        </w:tc>
        <w:tc>
          <w:tcPr>
            <w:tcW w:w="1080" w:type="dxa"/>
          </w:tcPr>
          <w:p w14:paraId="10727C28" w14:textId="77777777" w:rsidR="00A857C6" w:rsidRPr="00A00B20" w:rsidRDefault="00A857C6" w:rsidP="000F09AF">
            <w:pPr>
              <w:jc w:val="right"/>
              <w:rPr>
                <w:bCs/>
              </w:rPr>
            </w:pPr>
            <w:r>
              <w:rPr>
                <w:bCs/>
              </w:rPr>
              <w:t>19.78</w:t>
            </w:r>
            <w:r w:rsidRPr="00A00B20">
              <w:rPr>
                <w:bCs/>
              </w:rPr>
              <w:t>%</w:t>
            </w:r>
          </w:p>
        </w:tc>
      </w:tr>
      <w:tr w:rsidR="00A857C6" w:rsidRPr="00A00B20" w14:paraId="3F7BB902" w14:textId="77777777" w:rsidTr="00A857C6">
        <w:trPr>
          <w:jc w:val="center"/>
        </w:trPr>
        <w:tc>
          <w:tcPr>
            <w:tcW w:w="1832" w:type="dxa"/>
          </w:tcPr>
          <w:p w14:paraId="29689346" w14:textId="77777777" w:rsidR="00A857C6" w:rsidRPr="00D41050" w:rsidRDefault="00A857C6" w:rsidP="000F09AF">
            <w:r w:rsidRPr="00D41050">
              <w:t>Never given</w:t>
            </w:r>
          </w:p>
        </w:tc>
        <w:tc>
          <w:tcPr>
            <w:tcW w:w="1583" w:type="dxa"/>
          </w:tcPr>
          <w:p w14:paraId="2BE6A505" w14:textId="77777777" w:rsidR="00A857C6" w:rsidRPr="00A00B20" w:rsidRDefault="00A857C6" w:rsidP="000F09AF">
            <w:pPr>
              <w:jc w:val="center"/>
            </w:pPr>
            <w:r>
              <w:t>2,344</w:t>
            </w:r>
          </w:p>
        </w:tc>
        <w:tc>
          <w:tcPr>
            <w:tcW w:w="1080" w:type="dxa"/>
          </w:tcPr>
          <w:p w14:paraId="4A557A52" w14:textId="77777777" w:rsidR="00A857C6" w:rsidRPr="00A00B20" w:rsidRDefault="00A857C6" w:rsidP="000F09AF">
            <w:pPr>
              <w:jc w:val="right"/>
              <w:rPr>
                <w:bCs/>
              </w:rPr>
            </w:pPr>
            <w:r>
              <w:rPr>
                <w:bCs/>
              </w:rPr>
              <w:t>68.00</w:t>
            </w:r>
            <w:r w:rsidRPr="00A00B20">
              <w:rPr>
                <w:bCs/>
              </w:rPr>
              <w:t>%</w:t>
            </w:r>
          </w:p>
        </w:tc>
        <w:tc>
          <w:tcPr>
            <w:tcW w:w="1530" w:type="dxa"/>
          </w:tcPr>
          <w:p w14:paraId="77A7E4AD" w14:textId="77777777" w:rsidR="00A857C6" w:rsidRPr="00A00B20" w:rsidRDefault="00A857C6" w:rsidP="000F09AF">
            <w:pPr>
              <w:jc w:val="center"/>
            </w:pPr>
            <w:r>
              <w:t>2578</w:t>
            </w:r>
          </w:p>
        </w:tc>
        <w:tc>
          <w:tcPr>
            <w:tcW w:w="1080" w:type="dxa"/>
          </w:tcPr>
          <w:p w14:paraId="7EFCB369" w14:textId="77777777" w:rsidR="00A857C6" w:rsidRPr="00A00B20" w:rsidRDefault="00A857C6" w:rsidP="000F09AF">
            <w:pPr>
              <w:jc w:val="right"/>
              <w:rPr>
                <w:bCs/>
              </w:rPr>
            </w:pPr>
            <w:r>
              <w:rPr>
                <w:bCs/>
              </w:rPr>
              <w:t>74.79</w:t>
            </w:r>
            <w:r w:rsidRPr="00A00B20">
              <w:rPr>
                <w:bCs/>
              </w:rPr>
              <w:t>%</w:t>
            </w:r>
          </w:p>
        </w:tc>
      </w:tr>
      <w:tr w:rsidR="00A857C6" w:rsidRPr="00D41050" w14:paraId="21A08439" w14:textId="77777777" w:rsidTr="00A857C6">
        <w:trPr>
          <w:jc w:val="center"/>
        </w:trPr>
        <w:tc>
          <w:tcPr>
            <w:tcW w:w="1832" w:type="dxa"/>
            <w:shd w:val="clear" w:color="auto" w:fill="D9D9D9" w:themeFill="background1" w:themeFillShade="D9"/>
          </w:tcPr>
          <w:p w14:paraId="087550EE" w14:textId="77777777" w:rsidR="00A857C6" w:rsidRPr="00D41050" w:rsidRDefault="00A857C6" w:rsidP="000F09AF">
            <w:pPr>
              <w:rPr>
                <w:b/>
                <w:bCs/>
              </w:rPr>
            </w:pPr>
            <w:r w:rsidRPr="00D41050">
              <w:rPr>
                <w:b/>
                <w:bCs/>
              </w:rPr>
              <w:t>Total Overall</w:t>
            </w:r>
          </w:p>
        </w:tc>
        <w:tc>
          <w:tcPr>
            <w:tcW w:w="1583" w:type="dxa"/>
            <w:shd w:val="clear" w:color="auto" w:fill="D9D9D9" w:themeFill="background1" w:themeFillShade="D9"/>
          </w:tcPr>
          <w:p w14:paraId="17AE6DB7" w14:textId="77777777" w:rsidR="00A857C6" w:rsidRPr="00D41050" w:rsidRDefault="00A857C6" w:rsidP="000F09AF">
            <w:pPr>
              <w:jc w:val="center"/>
              <w:rPr>
                <w:b/>
              </w:rPr>
            </w:pPr>
            <w:r>
              <w:rPr>
                <w:b/>
              </w:rPr>
              <w:t>3,447</w:t>
            </w:r>
          </w:p>
        </w:tc>
        <w:tc>
          <w:tcPr>
            <w:tcW w:w="1080" w:type="dxa"/>
            <w:shd w:val="clear" w:color="auto" w:fill="D9D9D9" w:themeFill="background1" w:themeFillShade="D9"/>
          </w:tcPr>
          <w:p w14:paraId="19B3C240" w14:textId="77777777" w:rsidR="00A857C6" w:rsidRPr="00D41050" w:rsidRDefault="00A857C6" w:rsidP="000F09AF">
            <w:pPr>
              <w:rPr>
                <w:bCs/>
              </w:rPr>
            </w:pPr>
          </w:p>
        </w:tc>
        <w:tc>
          <w:tcPr>
            <w:tcW w:w="1530" w:type="dxa"/>
            <w:shd w:val="clear" w:color="auto" w:fill="D9D9D9" w:themeFill="background1" w:themeFillShade="D9"/>
          </w:tcPr>
          <w:p w14:paraId="46151987" w14:textId="77777777" w:rsidR="00A857C6" w:rsidRPr="00D41050" w:rsidRDefault="00A857C6" w:rsidP="000F09AF">
            <w:pPr>
              <w:jc w:val="center"/>
              <w:rPr>
                <w:b/>
              </w:rPr>
            </w:pPr>
            <w:r>
              <w:rPr>
                <w:b/>
              </w:rPr>
              <w:t>3,447</w:t>
            </w:r>
          </w:p>
        </w:tc>
        <w:tc>
          <w:tcPr>
            <w:tcW w:w="1080" w:type="dxa"/>
            <w:shd w:val="clear" w:color="auto" w:fill="D9D9D9" w:themeFill="background1" w:themeFillShade="D9"/>
          </w:tcPr>
          <w:p w14:paraId="32813379" w14:textId="77777777" w:rsidR="00A857C6" w:rsidRPr="00D41050" w:rsidRDefault="00A857C6" w:rsidP="000F09AF">
            <w:pPr>
              <w:rPr>
                <w:bCs/>
              </w:rPr>
            </w:pPr>
          </w:p>
        </w:tc>
      </w:tr>
    </w:tbl>
    <w:p w14:paraId="25FD3B53" w14:textId="77777777" w:rsidR="00846D9A" w:rsidRDefault="00846D9A" w:rsidP="00846D9A"/>
    <w:p w14:paraId="7D953302" w14:textId="0B71D261" w:rsidR="00846D9A" w:rsidRDefault="00846D9A" w:rsidP="00846D9A">
      <w:r>
        <w:t xml:space="preserve">The chart above shows a lack of </w:t>
      </w:r>
      <w:r w:rsidR="00426647">
        <w:t>giving to</w:t>
      </w:r>
      <w:r>
        <w:t xml:space="preserve"> </w:t>
      </w:r>
      <w:r w:rsidR="00A857C6">
        <w:t>SUBW</w:t>
      </w:r>
      <w:r>
        <w:t xml:space="preserve"> within its donor and alumni prospect pool.  Of the 33 donors to CU in this pool with giving of $1 million or more, 11 percent on average of these prospect’s lifetime giving to CU is going to </w:t>
      </w:r>
      <w:r w:rsidR="00A857C6">
        <w:t>SUBW</w:t>
      </w:r>
      <w:r>
        <w:t xml:space="preserve">, with only one </w:t>
      </w:r>
      <w:r w:rsidRPr="00426647">
        <w:t>donor (</w:t>
      </w:r>
      <w:r w:rsidR="00A857C6">
        <w:t>SPECIFIC DONOR INFO</w:t>
      </w:r>
      <w:r w:rsidRPr="00426647">
        <w:t xml:space="preserve">) contributing 100% of their CU giving to the </w:t>
      </w:r>
      <w:r w:rsidR="00A857C6">
        <w:t>SUBW</w:t>
      </w:r>
      <w:r w:rsidRPr="00426647">
        <w:t>, only one more giving over half (</w:t>
      </w:r>
      <w:r w:rsidR="00A857C6">
        <w:t>SPECIFIC DONOR INFO</w:t>
      </w:r>
      <w:r w:rsidRPr="00426647">
        <w:t>), and 27 of the 33 donors giving less</w:t>
      </w:r>
      <w:r>
        <w:t xml:space="preserve"> than 10% of their CU giving to </w:t>
      </w:r>
      <w:r w:rsidR="00A857C6">
        <w:t>SUBW</w:t>
      </w:r>
      <w:r>
        <w:t>.</w:t>
      </w:r>
    </w:p>
    <w:p w14:paraId="5FD2DEA4" w14:textId="4C122587" w:rsidR="00846D9A" w:rsidRDefault="00846D9A" w:rsidP="00846D9A">
      <w:r>
        <w:t xml:space="preserve">Organizations make up a substantial part of the group of donors to </w:t>
      </w:r>
      <w:r w:rsidR="00A857C6">
        <w:t>SUBW</w:t>
      </w:r>
      <w:r>
        <w:t xml:space="preserve"> who have given $10,000 or more lifetime to </w:t>
      </w:r>
      <w:r w:rsidR="00A857C6">
        <w:t>SUBW</w:t>
      </w:r>
      <w:r>
        <w:t xml:space="preserve"> (71% of donors are organizations).  They are however most likely to have a low percentage of their CU giving allocated for the </w:t>
      </w:r>
      <w:r w:rsidR="00A857C6">
        <w:t>SUBW</w:t>
      </w:r>
      <w:r>
        <w:t xml:space="preserve">.  For individuals and organizations who have given more than $10,000 lifetime to </w:t>
      </w:r>
      <w:r w:rsidR="00A857C6">
        <w:t>SUBW</w:t>
      </w:r>
      <w:r>
        <w:t xml:space="preserve">, the average percentage of their CU giving that went to the </w:t>
      </w:r>
      <w:r w:rsidR="00A857C6">
        <w:t>SUBW</w:t>
      </w:r>
      <w:r>
        <w:t xml:space="preserve"> is 38% for organizations and 71% for individuals.</w:t>
      </w:r>
    </w:p>
    <w:p w14:paraId="16157E42" w14:textId="0CC306C8" w:rsidR="00846D9A" w:rsidRPr="00846D9A" w:rsidRDefault="00846D9A" w:rsidP="00B40B0E">
      <w:pPr>
        <w:rPr>
          <w:b/>
          <w:bCs/>
        </w:rPr>
      </w:pPr>
      <w:r w:rsidRPr="00846D9A">
        <w:rPr>
          <w:b/>
          <w:bCs/>
        </w:rPr>
        <w:t>Overall Giving Trends</w:t>
      </w:r>
    </w:p>
    <w:p w14:paraId="421FFEDA" w14:textId="3EE4AD9B" w:rsidR="00846D9A" w:rsidRDefault="00846D9A" w:rsidP="00846D9A">
      <w:commentRangeStart w:id="5"/>
      <w:r>
        <w:t xml:space="preserve">The following chart tracks all donors who have made a single gift of $10,000 or more to the </w:t>
      </w:r>
      <w:r w:rsidR="00A857C6">
        <w:t>SUBW</w:t>
      </w:r>
      <w:commentRangeEnd w:id="5"/>
      <w:r w:rsidR="00A857C6">
        <w:rPr>
          <w:rStyle w:val="CommentReference"/>
        </w:rPr>
        <w:commentReference w:id="5"/>
      </w:r>
      <w:r>
        <w:t xml:space="preserve">, by last gift date to the </w:t>
      </w:r>
      <w:r w:rsidR="00A857C6">
        <w:t>SUBW</w:t>
      </w:r>
      <w:r>
        <w:t xml:space="preserve">, broken down by organizations and individuals.  Most of the individual donors </w:t>
      </w:r>
      <w:r>
        <w:lastRenderedPageBreak/>
        <w:t xml:space="preserve">who have given $10,000 or more are still donors or are recent donors, which is very good engagement with this group.  Organizations are more likely to have lapsed.  The individuals who have lapsed 3 or more years ago are largely still alive; per </w:t>
      </w:r>
      <w:r w:rsidR="00A857C6">
        <w:t>our database</w:t>
      </w:r>
      <w:r>
        <w:t xml:space="preserve"> only 9 of the 57 individual donors who have made a gift of $10,000 or more to the </w:t>
      </w:r>
      <w:r w:rsidR="00A857C6">
        <w:t>SUBW</w:t>
      </w:r>
      <w:r>
        <w:t xml:space="preserve"> </w:t>
      </w:r>
      <w:r w:rsidR="00426647">
        <w:t xml:space="preserve">and are lapsed </w:t>
      </w:r>
      <w:r>
        <w:t>are deceased.  This lapsed pool, while small, could be worth reviewing to determine if any of them could be re-engaged.  The same could easily apply to organization prospects, especially those who lapsed within the last 2-5 years (25 organizations lapsed in FY2019-2016).</w:t>
      </w:r>
    </w:p>
    <w:p w14:paraId="6080CF3B" w14:textId="77777777" w:rsidR="00846D9A" w:rsidRDefault="00846D9A" w:rsidP="00846D9A">
      <w:pPr>
        <w:jc w:val="center"/>
      </w:pPr>
      <w:r>
        <w:rPr>
          <w:noProof/>
        </w:rPr>
        <w:drawing>
          <wp:inline distT="0" distB="0" distL="0" distR="0" wp14:anchorId="3308777A" wp14:editId="66DC4D46">
            <wp:extent cx="4564380" cy="1638300"/>
            <wp:effectExtent l="0" t="0" r="7620" b="0"/>
            <wp:docPr id="10" name="Picture 10"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ar chart&#10;&#10;Description automatically generated"/>
                    <pic:cNvPicPr/>
                  </pic:nvPicPr>
                  <pic:blipFill rotWithShape="1">
                    <a:blip r:embed="rId15">
                      <a:extLst>
                        <a:ext uri="{28A0092B-C50C-407E-A947-70E740481C1C}">
                          <a14:useLocalDpi xmlns:a14="http://schemas.microsoft.com/office/drawing/2010/main" val="0"/>
                        </a:ext>
                      </a:extLst>
                    </a:blip>
                    <a:srcRect r="18503"/>
                    <a:stretch/>
                  </pic:blipFill>
                  <pic:spPr bwMode="auto">
                    <a:xfrm>
                      <a:off x="0" y="0"/>
                      <a:ext cx="4565018" cy="1638529"/>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2C8D5AFC" wp14:editId="45E8463F">
            <wp:extent cx="959485" cy="1012379"/>
            <wp:effectExtent l="0" t="0" r="0" b="0"/>
            <wp:docPr id="1" name="Picture 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ar chart&#10;&#10;Description automatically generated"/>
                    <pic:cNvPicPr/>
                  </pic:nvPicPr>
                  <pic:blipFill rotWithShape="1">
                    <a:blip r:embed="rId15">
                      <a:extLst>
                        <a:ext uri="{28A0092B-C50C-407E-A947-70E740481C1C}">
                          <a14:useLocalDpi xmlns:a14="http://schemas.microsoft.com/office/drawing/2010/main" val="0"/>
                        </a:ext>
                      </a:extLst>
                    </a:blip>
                    <a:srcRect l="82857" t="38165"/>
                    <a:stretch/>
                  </pic:blipFill>
                  <pic:spPr bwMode="auto">
                    <a:xfrm>
                      <a:off x="0" y="0"/>
                      <a:ext cx="960253" cy="1013189"/>
                    </a:xfrm>
                    <a:prstGeom prst="rect">
                      <a:avLst/>
                    </a:prstGeom>
                    <a:ln>
                      <a:noFill/>
                    </a:ln>
                    <a:extLst>
                      <a:ext uri="{53640926-AAD7-44D8-BBD7-CCE9431645EC}">
                        <a14:shadowObscured xmlns:a14="http://schemas.microsoft.com/office/drawing/2010/main"/>
                      </a:ext>
                    </a:extLst>
                  </pic:spPr>
                </pic:pic>
              </a:graphicData>
            </a:graphic>
          </wp:inline>
        </w:drawing>
      </w:r>
    </w:p>
    <w:p w14:paraId="489AE2B3" w14:textId="77777777" w:rsidR="00846D9A" w:rsidRDefault="00846D9A" w:rsidP="00846D9A">
      <w:r>
        <w:t>The fundraising chart below begins in 2007, the first year that giving totaled above $350,000.  Average fundraising from 1984-2006 was $120,507/year, primary driven by gifts under $25,000.  Notable gifts from 1984-2006 above $25,000 include:</w:t>
      </w:r>
    </w:p>
    <w:p w14:paraId="78F7C5D0" w14:textId="06519AAA" w:rsidR="00846D9A" w:rsidRDefault="00846D9A" w:rsidP="00846D9A">
      <w:pPr>
        <w:pStyle w:val="ListParagraph"/>
        <w:numPr>
          <w:ilvl w:val="0"/>
          <w:numId w:val="4"/>
        </w:numPr>
      </w:pPr>
      <w:r>
        <w:t>$</w:t>
      </w:r>
      <w:r w:rsidR="00A857C6">
        <w:t>########</w:t>
      </w:r>
      <w:r>
        <w:t xml:space="preserve"> in </w:t>
      </w:r>
      <w:r w:rsidR="00A857C6">
        <w:t>year</w:t>
      </w:r>
      <w:r>
        <w:t xml:space="preserve"> from </w:t>
      </w:r>
      <w:r w:rsidR="00A857C6">
        <w:t>SPECIFIC DONOR INFO</w:t>
      </w:r>
      <w:r>
        <w:t xml:space="preserve">, </w:t>
      </w:r>
      <w:r w:rsidR="00A857C6">
        <w:t>description of gift (named a scholarship, created an endowment, in honor of someone, etc.)</w:t>
      </w:r>
    </w:p>
    <w:p w14:paraId="21872D13" w14:textId="6B79045F" w:rsidR="00A857C6" w:rsidRDefault="00A857C6" w:rsidP="00A857C6">
      <w:pPr>
        <w:pStyle w:val="ListParagraph"/>
        <w:numPr>
          <w:ilvl w:val="0"/>
          <w:numId w:val="4"/>
        </w:numPr>
      </w:pPr>
      <w:r>
        <w:t>$######## in year from SPECIFIC DONOR INFO, description of gift</w:t>
      </w:r>
    </w:p>
    <w:p w14:paraId="49E4D100" w14:textId="7E24BFA1" w:rsidR="00A857C6" w:rsidRDefault="00A857C6" w:rsidP="00A857C6">
      <w:pPr>
        <w:pStyle w:val="ListParagraph"/>
        <w:numPr>
          <w:ilvl w:val="0"/>
          <w:numId w:val="4"/>
        </w:numPr>
      </w:pPr>
      <w:r>
        <w:t xml:space="preserve">$######## in year from SPECIFIC DONOR INFO, description of gift </w:t>
      </w:r>
    </w:p>
    <w:p w14:paraId="70B0CE3C" w14:textId="658A1A6D" w:rsidR="00A857C6" w:rsidRDefault="00A857C6" w:rsidP="00A857C6">
      <w:pPr>
        <w:pStyle w:val="ListParagraph"/>
        <w:numPr>
          <w:ilvl w:val="0"/>
          <w:numId w:val="4"/>
        </w:numPr>
      </w:pPr>
      <w:r>
        <w:t xml:space="preserve">$######## in year from SPECIFIC DONOR INFO, description of gift </w:t>
      </w:r>
    </w:p>
    <w:p w14:paraId="641C2F94" w14:textId="77777777" w:rsidR="00846D9A" w:rsidRDefault="00846D9A" w:rsidP="00846D9A">
      <w:r>
        <w:rPr>
          <w:noProof/>
        </w:rPr>
        <w:drawing>
          <wp:inline distT="0" distB="0" distL="0" distR="0" wp14:anchorId="7ADBAA69" wp14:editId="582581F1">
            <wp:extent cx="5943600" cy="1813560"/>
            <wp:effectExtent l="0" t="0" r="0" b="0"/>
            <wp:docPr id="3" name="Picture 3"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bar chart&#10;&#10;Description automatically generated"/>
                    <pic:cNvPicPr/>
                  </pic:nvPicPr>
                  <pic:blipFill rotWithShape="1">
                    <a:blip r:embed="rId16">
                      <a:extLst>
                        <a:ext uri="{28A0092B-C50C-407E-A947-70E740481C1C}">
                          <a14:useLocalDpi xmlns:a14="http://schemas.microsoft.com/office/drawing/2010/main" val="0"/>
                        </a:ext>
                      </a:extLst>
                    </a:blip>
                    <a:srcRect b="24284"/>
                    <a:stretch/>
                  </pic:blipFill>
                  <pic:spPr bwMode="auto">
                    <a:xfrm>
                      <a:off x="0" y="0"/>
                      <a:ext cx="5943600" cy="1813560"/>
                    </a:xfrm>
                    <a:prstGeom prst="rect">
                      <a:avLst/>
                    </a:prstGeom>
                    <a:ln>
                      <a:noFill/>
                    </a:ln>
                    <a:extLst>
                      <a:ext uri="{53640926-AAD7-44D8-BBD7-CCE9431645EC}">
                        <a14:shadowObscured xmlns:a14="http://schemas.microsoft.com/office/drawing/2010/main"/>
                      </a:ext>
                    </a:extLst>
                  </pic:spPr>
                </pic:pic>
              </a:graphicData>
            </a:graphic>
          </wp:inline>
        </w:drawing>
      </w:r>
    </w:p>
    <w:p w14:paraId="285A258C" w14:textId="55E8EB3C" w:rsidR="00846D9A" w:rsidRDefault="00F07BA5" w:rsidP="00846D9A">
      <w:r>
        <w:t xml:space="preserve">The chart above looks at total dollars raised by gift band starting in 2007, when the </w:t>
      </w:r>
      <w:r w:rsidR="00A857C6">
        <w:t>SUBW</w:t>
      </w:r>
      <w:r>
        <w:t xml:space="preserve"> began to </w:t>
      </w:r>
      <w:r w:rsidR="00C80B90">
        <w:t xml:space="preserve">more </w:t>
      </w:r>
      <w:r>
        <w:t xml:space="preserve">successfully raise gifts of above $25,000.  </w:t>
      </w:r>
      <w:r w:rsidR="00846D9A">
        <w:t xml:space="preserve">Of the $1 million gifts made beginning in 2007, all but </w:t>
      </w:r>
      <w:r w:rsidR="00846D9A">
        <w:lastRenderedPageBreak/>
        <w:t>one of them</w:t>
      </w:r>
      <w:r w:rsidR="00846D9A">
        <w:rPr>
          <w:rStyle w:val="FootnoteReference"/>
        </w:rPr>
        <w:footnoteReference w:id="1"/>
      </w:r>
      <w:r w:rsidR="00846D9A">
        <w:t xml:space="preserve"> </w:t>
      </w:r>
      <w:commentRangeStart w:id="6"/>
      <w:r w:rsidR="00846D9A">
        <w:t xml:space="preserve">were from </w:t>
      </w:r>
      <w:r w:rsidR="0018167B">
        <w:t>SPECIFIC DONOR INFORMATION</w:t>
      </w:r>
      <w:r w:rsidR="00846D9A">
        <w:t>, which has contributed a total of $</w:t>
      </w:r>
      <w:r w:rsidR="0018167B">
        <w:t>##,###,###</w:t>
      </w:r>
      <w:r w:rsidR="00846D9A">
        <w:t xml:space="preserve"> cumulatively to the </w:t>
      </w:r>
      <w:r w:rsidR="00A857C6">
        <w:t>SUBW</w:t>
      </w:r>
      <w:commentRangeEnd w:id="6"/>
      <w:r w:rsidR="0018167B">
        <w:rPr>
          <w:rStyle w:val="CommentReference"/>
        </w:rPr>
        <w:commentReference w:id="6"/>
      </w:r>
      <w:r w:rsidR="00846D9A">
        <w:t>.  This is largely responsible for the increase in donations in 2014-2016 and 2018, though strong giving in the bands from $10,000 and up also helped with the pipeline.  Per the chart below, starting in 2017 overall donor counts have generally been decreasing, though so far 2021 has been a strong year for donor counts.</w:t>
      </w:r>
    </w:p>
    <w:p w14:paraId="255F2B1A" w14:textId="77777777" w:rsidR="00846D9A" w:rsidRDefault="00846D9A" w:rsidP="00846D9A">
      <w:r>
        <w:rPr>
          <w:noProof/>
        </w:rPr>
        <mc:AlternateContent>
          <mc:Choice Requires="wps">
            <w:drawing>
              <wp:anchor distT="45720" distB="45720" distL="114300" distR="114300" simplePos="0" relativeHeight="251659264" behindDoc="0" locked="0" layoutInCell="1" allowOverlap="1" wp14:anchorId="31F6E7DF" wp14:editId="1BD80D9E">
                <wp:simplePos x="0" y="0"/>
                <wp:positionH relativeFrom="column">
                  <wp:posOffset>1619250</wp:posOffset>
                </wp:positionH>
                <wp:positionV relativeFrom="paragraph">
                  <wp:posOffset>948690</wp:posOffset>
                </wp:positionV>
                <wp:extent cx="1314450" cy="21336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13360"/>
                        </a:xfrm>
                        <a:prstGeom prst="rect">
                          <a:avLst/>
                        </a:prstGeom>
                        <a:noFill/>
                        <a:ln w="9525">
                          <a:noFill/>
                          <a:miter lim="800000"/>
                          <a:headEnd/>
                          <a:tailEnd/>
                        </a:ln>
                      </wps:spPr>
                      <wps:txbx>
                        <w:txbxContent>
                          <w:p w14:paraId="16F14CE7" w14:textId="2B7DB002" w:rsidR="00846D9A" w:rsidRPr="00F07BA5" w:rsidRDefault="00846D9A" w:rsidP="00846D9A">
                            <w:pPr>
                              <w:rPr>
                                <w:vertAlign w:val="superscript"/>
                              </w:rPr>
                            </w:pPr>
                            <w:r w:rsidRPr="00F07BA5">
                              <w:rPr>
                                <w:vertAlign w:val="superscript"/>
                              </w:rPr>
                              <w:t>2</w:t>
                            </w:r>
                            <w:r w:rsidR="00F07BA5" w:rsidRPr="00F07BA5">
                              <w:rPr>
                                <w:vertAlign w:val="superscript"/>
                              </w:rPr>
                              <w:t xml:space="preserve"> (see footnotes)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F6E7DF" id="_x0000_t202" coordsize="21600,21600" o:spt="202" path="m,l,21600r21600,l21600,xe">
                <v:stroke joinstyle="miter"/>
                <v:path gradientshapeok="t" o:connecttype="rect"/>
              </v:shapetype>
              <v:shape id="Text Box 2" o:spid="_x0000_s1026" type="#_x0000_t202" style="position:absolute;margin-left:127.5pt;margin-top:74.7pt;width:103.5pt;height:16.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" filled="f" stroked="f">
                <v:textbox>
                  <w:txbxContent>
                    <w:p w14:paraId="16F14CE7" w14:textId="2B7DB002" w:rsidR="00846D9A" w:rsidRPr="00F07BA5" w:rsidRDefault="00846D9A" w:rsidP="00846D9A">
                      <w:pPr>
                        <w:rPr>
                          <w:vertAlign w:val="superscript"/>
                        </w:rPr>
                      </w:pPr>
                      <w:r w:rsidRPr="00F07BA5">
                        <w:rPr>
                          <w:vertAlign w:val="superscript"/>
                        </w:rPr>
                        <w:t>2</w:t>
                      </w:r>
                      <w:r w:rsidR="00F07BA5" w:rsidRPr="00F07BA5">
                        <w:rPr>
                          <w:vertAlign w:val="superscript"/>
                        </w:rPr>
                        <w:t xml:space="preserve"> (see footnotes)</w:t>
                      </w:r>
                    </w:p>
                  </w:txbxContent>
                </v:textbox>
              </v:shape>
            </w:pict>
          </mc:Fallback>
        </mc:AlternateContent>
      </w:r>
      <w:r>
        <w:rPr>
          <w:noProof/>
        </w:rPr>
        <w:drawing>
          <wp:inline distT="0" distB="0" distL="0" distR="0" wp14:anchorId="358EAEF6" wp14:editId="3DDAF646">
            <wp:extent cx="5943600" cy="1555750"/>
            <wp:effectExtent l="0" t="0" r="0" b="6350"/>
            <wp:docPr id="4" name="Picture 4"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5943600" cy="1555750"/>
                    </a:xfrm>
                    <a:prstGeom prst="rect">
                      <a:avLst/>
                    </a:prstGeom>
                  </pic:spPr>
                </pic:pic>
              </a:graphicData>
            </a:graphic>
          </wp:inline>
        </w:drawing>
      </w:r>
    </w:p>
    <w:p w14:paraId="4F05439C" w14:textId="1F28E26A" w:rsidR="00846D9A" w:rsidRDefault="00846D9A" w:rsidP="00846D9A">
      <w:r>
        <w:t xml:space="preserve">The increase in donations and donors in 2007 is driven by giving to the </w:t>
      </w:r>
      <w:r w:rsidR="0018167B">
        <w:t>School of Underwater Basket Weaving Fund</w:t>
      </w:r>
      <w:r>
        <w:t>, a direct to university</w:t>
      </w:r>
      <w:r w:rsidR="0018167B">
        <w:t xml:space="preserve"> gift</w:t>
      </w:r>
      <w:r>
        <w:t xml:space="preserve"> fund.  Other top allocations supported by gift count in the </w:t>
      </w:r>
      <w:r w:rsidR="00A857C6">
        <w:t>SUBW</w:t>
      </w:r>
      <w:r>
        <w:t xml:space="preserve"> since 2007 include the </w:t>
      </w:r>
      <w:r w:rsidR="0018167B">
        <w:t>Fund A</w:t>
      </w:r>
      <w:r>
        <w:t>,</w:t>
      </w:r>
      <w:r w:rsidR="0018167B">
        <w:t xml:space="preserve"> Fund B</w:t>
      </w:r>
      <w:r>
        <w:t>, and</w:t>
      </w:r>
      <w:r w:rsidR="0018167B">
        <w:t xml:space="preserve"> Fund C</w:t>
      </w:r>
      <w:r>
        <w:t>.  Based on giving totals since 2007, top allocations are the:</w:t>
      </w:r>
    </w:p>
    <w:p w14:paraId="17FF963C" w14:textId="2910EE44" w:rsidR="00846D9A" w:rsidRDefault="0018167B" w:rsidP="00846D9A">
      <w:pPr>
        <w:pStyle w:val="ListParagraph"/>
        <w:numPr>
          <w:ilvl w:val="0"/>
          <w:numId w:val="5"/>
        </w:numPr>
      </w:pPr>
      <w:r>
        <w:t>Fund Name</w:t>
      </w:r>
      <w:r w:rsidR="00846D9A">
        <w:t xml:space="preserve"> (</w:t>
      </w:r>
      <w:r>
        <w:t>Accounting #, brief description</w:t>
      </w:r>
      <w:r w:rsidR="00846D9A">
        <w:t>) - $</w:t>
      </w:r>
      <w:r>
        <w:t>#,###,### total</w:t>
      </w:r>
    </w:p>
    <w:p w14:paraId="4333381D" w14:textId="69E58A33" w:rsidR="00846D9A" w:rsidRDefault="00846D9A" w:rsidP="00846D9A">
      <w:pPr>
        <w:pStyle w:val="ListParagraph"/>
        <w:numPr>
          <w:ilvl w:val="0"/>
          <w:numId w:val="5"/>
        </w:numPr>
      </w:pPr>
      <w:r>
        <w:t xml:space="preserve">Various funds associated with </w:t>
      </w:r>
      <w:r w:rsidR="0018167B">
        <w:t>SPECIFIC DONOR INFO</w:t>
      </w:r>
    </w:p>
    <w:p w14:paraId="7015E425" w14:textId="77777777" w:rsidR="0018167B" w:rsidRDefault="0018167B" w:rsidP="0018167B">
      <w:pPr>
        <w:pStyle w:val="ListParagraph"/>
        <w:numPr>
          <w:ilvl w:val="0"/>
          <w:numId w:val="5"/>
        </w:numPr>
      </w:pPr>
      <w:r>
        <w:t>Fund Name (Accounting #, brief description) - $#,###,### total</w:t>
      </w:r>
    </w:p>
    <w:p w14:paraId="5A9A27EF" w14:textId="45539AA2" w:rsidR="00846D9A" w:rsidRDefault="0018167B" w:rsidP="00846D9A">
      <w:pPr>
        <w:pStyle w:val="ListParagraph"/>
        <w:numPr>
          <w:ilvl w:val="1"/>
          <w:numId w:val="5"/>
        </w:numPr>
      </w:pPr>
      <w:r>
        <w:t>Information about the formation or history of this fund that was interesting</w:t>
      </w:r>
    </w:p>
    <w:p w14:paraId="2E7B0A45" w14:textId="77777777" w:rsidR="0018167B" w:rsidRDefault="0018167B" w:rsidP="0018167B">
      <w:pPr>
        <w:pStyle w:val="ListParagraph"/>
        <w:numPr>
          <w:ilvl w:val="0"/>
          <w:numId w:val="5"/>
        </w:numPr>
      </w:pPr>
      <w:r>
        <w:t>Fund Name (Accounting #, brief description) - $#,###,### total</w:t>
      </w:r>
    </w:p>
    <w:p w14:paraId="4145C0A0" w14:textId="38875FA2" w:rsidR="0018167B" w:rsidRDefault="0018167B" w:rsidP="0018167B">
      <w:pPr>
        <w:pStyle w:val="ListParagraph"/>
        <w:numPr>
          <w:ilvl w:val="1"/>
          <w:numId w:val="5"/>
        </w:numPr>
      </w:pPr>
      <w:r>
        <w:t>This fund has primarily been supported by SPECIFIC DONOR INFO though many friends and family have also given smaller gifts</w:t>
      </w:r>
    </w:p>
    <w:p w14:paraId="4BF5159D" w14:textId="77777777" w:rsidR="0018167B" w:rsidRDefault="0018167B" w:rsidP="00846D9A">
      <w:pPr>
        <w:pStyle w:val="ListParagraph"/>
        <w:numPr>
          <w:ilvl w:val="0"/>
          <w:numId w:val="5"/>
        </w:numPr>
      </w:pPr>
      <w:r>
        <w:t xml:space="preserve">Fund Name (Accounting #, brief description) - $#,###,### total </w:t>
      </w:r>
    </w:p>
    <w:p w14:paraId="17EE62FD" w14:textId="77777777" w:rsidR="0018167B" w:rsidRDefault="0018167B" w:rsidP="0018167B">
      <w:pPr>
        <w:pStyle w:val="ListParagraph"/>
        <w:numPr>
          <w:ilvl w:val="0"/>
          <w:numId w:val="5"/>
        </w:numPr>
      </w:pPr>
      <w:r>
        <w:t>Fund Name (Accounting #, brief description) - $#,###,### total</w:t>
      </w:r>
    </w:p>
    <w:p w14:paraId="2F584AF2" w14:textId="693FE0E1" w:rsidR="0018167B" w:rsidRDefault="0018167B" w:rsidP="0018167B">
      <w:pPr>
        <w:pStyle w:val="ListParagraph"/>
        <w:numPr>
          <w:ilvl w:val="1"/>
          <w:numId w:val="5"/>
        </w:numPr>
      </w:pPr>
      <w:r>
        <w:t>Information about the formation or history of this fund that was interesting</w:t>
      </w:r>
    </w:p>
    <w:p w14:paraId="52A31611" w14:textId="26A8D4D0" w:rsidR="0018167B" w:rsidRDefault="0018167B" w:rsidP="0018167B"/>
    <w:p w14:paraId="35F8F04D" w14:textId="2A27916A" w:rsidR="0018167B" w:rsidRDefault="0018167B" w:rsidP="0018167B"/>
    <w:p w14:paraId="4B02685F" w14:textId="77777777" w:rsidR="0018167B" w:rsidRDefault="0018167B" w:rsidP="0018167B"/>
    <w:p w14:paraId="62FC2126" w14:textId="57FD6839" w:rsidR="005D460B" w:rsidRDefault="00A857C6" w:rsidP="005D460B">
      <w:pPr>
        <w:jc w:val="center"/>
      </w:pPr>
      <w:r>
        <w:lastRenderedPageBreak/>
        <w:t>SUBW</w:t>
      </w:r>
      <w:r w:rsidR="005D460B">
        <w:t xml:space="preserve"> DonorCentrics </w:t>
      </w:r>
      <w:commentRangeStart w:id="7"/>
      <w:r w:rsidR="005D460B">
        <w:t xml:space="preserve">Donor Retention Dashboard </w:t>
      </w:r>
      <w:commentRangeEnd w:id="7"/>
      <w:r w:rsidR="0018167B">
        <w:rPr>
          <w:rStyle w:val="CommentReference"/>
        </w:rPr>
        <w:commentReference w:id="7"/>
      </w:r>
      <w:r w:rsidR="005D460B">
        <w:t>– By Donor Type</w:t>
      </w:r>
      <w:r w:rsidR="005D460B">
        <w:rPr>
          <w:rStyle w:val="FootnoteReference"/>
        </w:rPr>
        <w:footnoteReference w:id="2"/>
      </w:r>
    </w:p>
    <w:p w14:paraId="7321DD3A" w14:textId="2205EA62" w:rsidR="005D460B" w:rsidRDefault="005D460B" w:rsidP="005D460B">
      <w:pPr>
        <w:rPr>
          <w:rFonts w:eastAsia="Times New Roman"/>
        </w:rPr>
      </w:pPr>
      <w:r>
        <w:rPr>
          <w:noProof/>
        </w:rPr>
        <w:drawing>
          <wp:inline distT="0" distB="0" distL="0" distR="0" wp14:anchorId="5AD68AD4" wp14:editId="0893E12B">
            <wp:extent cx="5943600" cy="23545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2354580"/>
                    </a:xfrm>
                    <a:prstGeom prst="rect">
                      <a:avLst/>
                    </a:prstGeom>
                    <a:noFill/>
                    <a:ln>
                      <a:noFill/>
                    </a:ln>
                  </pic:spPr>
                </pic:pic>
              </a:graphicData>
            </a:graphic>
          </wp:inline>
        </w:drawing>
      </w:r>
      <w:r>
        <w:rPr>
          <w:rFonts w:eastAsia="Times New Roman"/>
        </w:rPr>
        <w:t>A</w:t>
      </w:r>
      <w:r w:rsidRPr="005D460B">
        <w:rPr>
          <w:rFonts w:eastAsia="Times New Roman"/>
        </w:rPr>
        <w:t>mong individuals (alumni and friends especially) revenue per donor has been increasing over time, aside from a decrease in friends revenue between FY16-17</w:t>
      </w:r>
      <w:r w:rsidR="00C80B90">
        <w:rPr>
          <w:rFonts w:eastAsia="Times New Roman"/>
        </w:rPr>
        <w:t xml:space="preserve">, likely driven by strong prior giving to the </w:t>
      </w:r>
      <w:r w:rsidR="0018167B">
        <w:rPr>
          <w:rFonts w:eastAsia="Times New Roman"/>
        </w:rPr>
        <w:t>SPECIFIC FUND INFO</w:t>
      </w:r>
      <w:r w:rsidR="00C80B90">
        <w:rPr>
          <w:rFonts w:eastAsia="Times New Roman"/>
        </w:rPr>
        <w:t xml:space="preserve"> in FY15 and FY16</w:t>
      </w:r>
      <w:r w:rsidRPr="005D460B">
        <w:rPr>
          <w:rFonts w:eastAsia="Times New Roman"/>
        </w:rPr>
        <w:t>.</w:t>
      </w:r>
      <w:r>
        <w:rPr>
          <w:rFonts w:eastAsia="Times New Roman"/>
        </w:rPr>
        <w:t xml:space="preserve">  Alumni retention could be improved, which might help stabilize revenue.  This data further proves that with corporation and foundation donors, the actions of a small number of organizations is having a big impact.</w:t>
      </w:r>
    </w:p>
    <w:p w14:paraId="7530EC68" w14:textId="2F943C82" w:rsidR="005D460B" w:rsidRDefault="00A857C6" w:rsidP="001E3DC5">
      <w:pPr>
        <w:jc w:val="center"/>
      </w:pPr>
      <w:r>
        <w:t>SUBW</w:t>
      </w:r>
      <w:r w:rsidR="005D460B">
        <w:t xml:space="preserve"> DonorCentrics Donor Retention Dashboard – </w:t>
      </w:r>
      <w:r w:rsidR="001E3DC5">
        <w:t>Overall</w:t>
      </w:r>
      <w:r w:rsidR="001E3DC5" w:rsidRPr="001E3DC5">
        <w:rPr>
          <w:vertAlign w:val="superscript"/>
        </w:rPr>
        <w:t>2</w:t>
      </w:r>
    </w:p>
    <w:p w14:paraId="696BF5E0" w14:textId="4F18FD82" w:rsidR="005D460B" w:rsidRDefault="001E3DC5" w:rsidP="001E3DC5">
      <w:r>
        <w:rPr>
          <w:noProof/>
        </w:rPr>
        <w:drawing>
          <wp:inline distT="0" distB="0" distL="0" distR="0" wp14:anchorId="07BEE037" wp14:editId="5D9B5017">
            <wp:extent cx="5934075" cy="8096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34075" cy="809625"/>
                    </a:xfrm>
                    <a:prstGeom prst="rect">
                      <a:avLst/>
                    </a:prstGeom>
                    <a:noFill/>
                    <a:ln>
                      <a:noFill/>
                    </a:ln>
                  </pic:spPr>
                </pic:pic>
              </a:graphicData>
            </a:graphic>
          </wp:inline>
        </w:drawing>
      </w:r>
      <w:r w:rsidR="005D460B" w:rsidRPr="001E3DC5">
        <w:rPr>
          <w:rFonts w:eastAsia="Times New Roman"/>
        </w:rPr>
        <w:t>Looking at retention for the pool overall, not broken down by donor type, shows more consisten</w:t>
      </w:r>
      <w:r>
        <w:rPr>
          <w:rFonts w:eastAsia="Times New Roman"/>
        </w:rPr>
        <w:t>t</w:t>
      </w:r>
      <w:r w:rsidR="005D460B" w:rsidRPr="001E3DC5">
        <w:rPr>
          <w:rFonts w:eastAsia="Times New Roman"/>
        </w:rPr>
        <w:t xml:space="preserve"> donor retention.  Revenue lost from lapsed donors is concerning, though as stated above, likely the actions of a few donors are having a disproportionate impact on this overall statistic</w:t>
      </w:r>
      <w:r>
        <w:rPr>
          <w:rFonts w:eastAsia="Times New Roman"/>
        </w:rPr>
        <w:t xml:space="preserve">.  </w:t>
      </w:r>
      <w:commentRangeStart w:id="8"/>
      <w:r>
        <w:rPr>
          <w:rFonts w:eastAsia="Times New Roman"/>
        </w:rPr>
        <w:t>Annual giving is not currently concerned about the attrition of number of donors.  They’ve seen with other units that donors who paused their giving in 2020 are already returning in 2021.</w:t>
      </w:r>
      <w:r w:rsidRPr="001E3DC5">
        <w:t xml:space="preserve"> </w:t>
      </w:r>
      <w:r>
        <w:t>Annual Giving Network is also showing trends in that direction.  Potentially gift officer outreach to those who lapsed in 2020 could produce good results.</w:t>
      </w:r>
      <w:commentRangeEnd w:id="8"/>
      <w:r w:rsidR="0018167B">
        <w:rPr>
          <w:rStyle w:val="CommentReference"/>
        </w:rPr>
        <w:commentReference w:id="8"/>
      </w:r>
    </w:p>
    <w:p w14:paraId="0CC23587" w14:textId="118C3298" w:rsidR="0018167B" w:rsidRDefault="0018167B" w:rsidP="001E3DC5"/>
    <w:p w14:paraId="4A7DADB0" w14:textId="77777777" w:rsidR="0018167B" w:rsidRPr="001E3DC5" w:rsidRDefault="0018167B" w:rsidP="001E3DC5"/>
    <w:p w14:paraId="743FEF1D" w14:textId="64E20CFC" w:rsidR="001E3DC5" w:rsidRDefault="00A857C6" w:rsidP="001E3DC5">
      <w:pPr>
        <w:jc w:val="center"/>
      </w:pPr>
      <w:r>
        <w:lastRenderedPageBreak/>
        <w:t>SUBW</w:t>
      </w:r>
      <w:r w:rsidR="001E3DC5">
        <w:t xml:space="preserve"> DonorCentrics Revenue Gains and Losses Dashboard</w:t>
      </w:r>
      <w:r w:rsidR="001E3DC5">
        <w:rPr>
          <w:rStyle w:val="FootnoteReference"/>
        </w:rPr>
        <w:footnoteReference w:id="3"/>
      </w:r>
    </w:p>
    <w:p w14:paraId="6DC48D2E" w14:textId="298A5522" w:rsidR="005D460B" w:rsidRDefault="001E3DC5" w:rsidP="001E3DC5">
      <w:pPr>
        <w:jc w:val="center"/>
      </w:pPr>
      <w:r>
        <w:rPr>
          <w:noProof/>
        </w:rPr>
        <w:drawing>
          <wp:inline distT="0" distB="0" distL="0" distR="0" wp14:anchorId="03CE82FD" wp14:editId="4E8A451D">
            <wp:extent cx="5934075" cy="48291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4075" cy="4829175"/>
                    </a:xfrm>
                    <a:prstGeom prst="rect">
                      <a:avLst/>
                    </a:prstGeom>
                    <a:noFill/>
                    <a:ln>
                      <a:noFill/>
                    </a:ln>
                  </pic:spPr>
                </pic:pic>
              </a:graphicData>
            </a:graphic>
          </wp:inline>
        </w:drawing>
      </w:r>
    </w:p>
    <w:p w14:paraId="458BE319" w14:textId="4BC854BE" w:rsidR="005D460B" w:rsidRDefault="005D460B" w:rsidP="001E3DC5">
      <w:pPr>
        <w:spacing w:after="0" w:line="240" w:lineRule="auto"/>
        <w:rPr>
          <w:rFonts w:eastAsia="Times New Roman"/>
        </w:rPr>
      </w:pPr>
      <w:r w:rsidRPr="001E3DC5">
        <w:rPr>
          <w:rFonts w:eastAsia="Times New Roman"/>
        </w:rPr>
        <w:t>Continuing donors, both those who upgrade and those who downgrade, have the biggest impact on revenue gains and losses</w:t>
      </w:r>
      <w:r w:rsidR="001E3DC5">
        <w:rPr>
          <w:rFonts w:eastAsia="Times New Roman"/>
        </w:rPr>
        <w:t xml:space="preserve">.  </w:t>
      </w:r>
      <w:r>
        <w:rPr>
          <w:rFonts w:eastAsia="Times New Roman"/>
        </w:rPr>
        <w:t>In FY20, new donors helped with gains and downgrades decreased, which is a promising trend that will hopefully continue once FY21 is wrapped up</w:t>
      </w:r>
      <w:r w:rsidR="001E3DC5">
        <w:rPr>
          <w:rFonts w:eastAsia="Times New Roman"/>
        </w:rPr>
        <w:t>.</w:t>
      </w:r>
    </w:p>
    <w:p w14:paraId="5F67D73C" w14:textId="2DB90D50" w:rsidR="003E0F3A" w:rsidRDefault="003E0F3A" w:rsidP="001E3DC5">
      <w:pPr>
        <w:spacing w:after="0" w:line="240" w:lineRule="auto"/>
        <w:rPr>
          <w:rFonts w:eastAsia="Times New Roman"/>
        </w:rPr>
      </w:pPr>
    </w:p>
    <w:p w14:paraId="2F407AD9" w14:textId="57B5A6EE" w:rsidR="003E0F3A" w:rsidRDefault="003E0F3A" w:rsidP="001E3DC5">
      <w:pPr>
        <w:spacing w:after="0" w:line="240" w:lineRule="auto"/>
        <w:rPr>
          <w:rFonts w:eastAsia="Times New Roman"/>
        </w:rPr>
      </w:pPr>
    </w:p>
    <w:p w14:paraId="6ED1D8F7" w14:textId="037D7A23" w:rsidR="003E0F3A" w:rsidRDefault="003E0F3A" w:rsidP="001E3DC5">
      <w:pPr>
        <w:spacing w:after="0" w:line="240" w:lineRule="auto"/>
        <w:rPr>
          <w:rFonts w:eastAsia="Times New Roman"/>
        </w:rPr>
      </w:pPr>
    </w:p>
    <w:p w14:paraId="7FC354AC" w14:textId="03944106" w:rsidR="003E0F3A" w:rsidRDefault="003E0F3A" w:rsidP="001E3DC5">
      <w:pPr>
        <w:spacing w:after="0" w:line="240" w:lineRule="auto"/>
        <w:rPr>
          <w:rFonts w:eastAsia="Times New Roman"/>
        </w:rPr>
      </w:pPr>
    </w:p>
    <w:p w14:paraId="698F4471" w14:textId="384184E8" w:rsidR="003E0F3A" w:rsidRDefault="003E0F3A" w:rsidP="001E3DC5">
      <w:pPr>
        <w:spacing w:after="0" w:line="240" w:lineRule="auto"/>
        <w:rPr>
          <w:rFonts w:eastAsia="Times New Roman"/>
        </w:rPr>
      </w:pPr>
    </w:p>
    <w:p w14:paraId="44949AAA" w14:textId="77777777" w:rsidR="003E0F3A" w:rsidRPr="001E3DC5" w:rsidRDefault="003E0F3A" w:rsidP="001E3DC5">
      <w:pPr>
        <w:spacing w:after="0" w:line="240" w:lineRule="auto"/>
        <w:rPr>
          <w:rFonts w:eastAsia="Times New Roman"/>
        </w:rPr>
      </w:pPr>
    </w:p>
    <w:p w14:paraId="42CD2412" w14:textId="48CF044E" w:rsidR="005D460B" w:rsidRDefault="005D460B" w:rsidP="005D460B">
      <w:pPr>
        <w:jc w:val="center"/>
      </w:pPr>
      <w:r>
        <w:lastRenderedPageBreak/>
        <w:t xml:space="preserve">AMC </w:t>
      </w:r>
      <w:r w:rsidR="00A857C6">
        <w:t>SUBW</w:t>
      </w:r>
      <w:r>
        <w:t xml:space="preserve"> DonorCentrics </w:t>
      </w:r>
      <w:r w:rsidR="001E3DC5">
        <w:t>Donor</w:t>
      </w:r>
      <w:r>
        <w:t xml:space="preserve"> Gains and Losses Dashboard</w:t>
      </w:r>
      <w:r>
        <w:rPr>
          <w:rStyle w:val="FootnoteReference"/>
        </w:rPr>
        <w:footnoteReference w:id="4"/>
      </w:r>
    </w:p>
    <w:p w14:paraId="07D14EF1" w14:textId="72D0CEEF" w:rsidR="001E3DC5" w:rsidRDefault="001E3DC5" w:rsidP="001E3DC5">
      <w:pPr>
        <w:jc w:val="center"/>
      </w:pPr>
      <w:r>
        <w:rPr>
          <w:noProof/>
        </w:rPr>
        <w:drawing>
          <wp:inline distT="0" distB="0" distL="0" distR="0" wp14:anchorId="707E0E3D" wp14:editId="214518B0">
            <wp:extent cx="5943600" cy="43529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4352925"/>
                    </a:xfrm>
                    <a:prstGeom prst="rect">
                      <a:avLst/>
                    </a:prstGeom>
                    <a:noFill/>
                    <a:ln>
                      <a:noFill/>
                    </a:ln>
                  </pic:spPr>
                </pic:pic>
              </a:graphicData>
            </a:graphic>
          </wp:inline>
        </w:drawing>
      </w:r>
    </w:p>
    <w:p w14:paraId="656991AC" w14:textId="15ACC25D" w:rsidR="005D460B" w:rsidRDefault="001E3DC5" w:rsidP="005D460B">
      <w:r>
        <w:t xml:space="preserve">Recent losses in lapsed donors are not being made up for with gains in new and reactivated donors.  However, given the size of the </w:t>
      </w:r>
      <w:r w:rsidR="00A857C6">
        <w:t>SUBW</w:t>
      </w:r>
      <w:r>
        <w:t xml:space="preserve"> donor pool overall, targeted outreach could help improve retention.  Overall, with such a small pool, targeted outreach to retain existing donors and make gains with new donors could have a big impact.  Crowdfunding could be particularly important here for retaining donors who may not feel compelled, long-term, by scholarship or general fund messaging.</w:t>
      </w:r>
    </w:p>
    <w:p w14:paraId="6163FF6F" w14:textId="77777777" w:rsidR="001E3DC5" w:rsidRDefault="001E3DC5" w:rsidP="005D460B"/>
    <w:p w14:paraId="321C4356" w14:textId="77777777" w:rsidR="008B1BE0" w:rsidRDefault="006B785E">
      <w:pPr>
        <w:rPr>
          <w:b/>
        </w:rPr>
      </w:pPr>
      <w:r w:rsidRPr="003E032C">
        <w:rPr>
          <w:b/>
        </w:rPr>
        <w:t>Major Gift Prospect Pool</w:t>
      </w:r>
    </w:p>
    <w:p w14:paraId="3AC1907D" w14:textId="77777777" w:rsidR="00846D9A" w:rsidRPr="00B8018C" w:rsidRDefault="00846D9A" w:rsidP="00846D9A">
      <w:pPr>
        <w:rPr>
          <w:b/>
        </w:rPr>
      </w:pPr>
      <w:r w:rsidRPr="00B8018C">
        <w:rPr>
          <w:b/>
        </w:rPr>
        <w:t>Managed Prospects</w:t>
      </w:r>
    </w:p>
    <w:p w14:paraId="2ED0E58D" w14:textId="63D1CB09" w:rsidR="00846D9A" w:rsidRPr="00B8018C" w:rsidRDefault="00846D9A" w:rsidP="00846D9A">
      <w:commentRangeStart w:id="9"/>
      <w:r w:rsidRPr="00B8018C">
        <w:t xml:space="preserve">There are 182 prospects in this pool that are currently managed (5% of pool). Of those, 158 are managed by </w:t>
      </w:r>
      <w:r w:rsidR="003E0F3A">
        <w:t>SUBW</w:t>
      </w:r>
      <w:r w:rsidRPr="00B8018C">
        <w:t xml:space="preserve"> fundraisers (87%). 62 of those prospects have a major gift capacity of $100,000+ </w:t>
      </w:r>
      <w:r w:rsidRPr="00B8018C">
        <w:lastRenderedPageBreak/>
        <w:t>(34%) while 100 have a gift capacity of $25,000+ (55%). Note: 42</w:t>
      </w:r>
      <w:r>
        <w:t xml:space="preserve"> prospects</w:t>
      </w:r>
      <w:r w:rsidRPr="00B8018C">
        <w:t xml:space="preserve"> are organizations with no gift capacity listed.</w:t>
      </w:r>
      <w:commentRangeEnd w:id="9"/>
      <w:r w:rsidR="00A814D1">
        <w:rPr>
          <w:rStyle w:val="CommentReference"/>
        </w:rPr>
        <w:commentReference w:id="9"/>
      </w:r>
    </w:p>
    <w:p w14:paraId="1F031968" w14:textId="77777777" w:rsidR="00846D9A" w:rsidRPr="00B8018C" w:rsidRDefault="00846D9A" w:rsidP="00846D9A">
      <w:pPr>
        <w:rPr>
          <w:b/>
        </w:rPr>
      </w:pPr>
      <w:r w:rsidRPr="00B8018C">
        <w:rPr>
          <w:b/>
        </w:rPr>
        <w:t>Unmanaged Prospects</w:t>
      </w:r>
    </w:p>
    <w:p w14:paraId="54F273AF" w14:textId="77777777" w:rsidR="00846D9A" w:rsidRPr="00B8018C" w:rsidRDefault="00846D9A" w:rsidP="00846D9A">
      <w:r w:rsidRPr="00B8018C">
        <w:t xml:space="preserve">The unmanaged prospect pool includes 3,265 entities. This includes 3,206 individuals and 59 organizations. </w:t>
      </w:r>
    </w:p>
    <w:p w14:paraId="744CF6A9" w14:textId="51E930AE" w:rsidR="00846D9A" w:rsidRPr="00BF0F04" w:rsidRDefault="00846D9A" w:rsidP="00846D9A">
      <w:commentRangeStart w:id="10"/>
      <w:r w:rsidRPr="009135B2">
        <w:t xml:space="preserve">When reviewing individuals with a gift capacity of $25,000+, the potential prospect pool includes 896 individuals. Within this group, 749 also have a high affinity to </w:t>
      </w:r>
      <w:r w:rsidR="0082432C">
        <w:t>the SUBW</w:t>
      </w:r>
      <w:r w:rsidRPr="009135B2">
        <w:t xml:space="preserve">. 54 of these prospects have previously been managed. </w:t>
      </w:r>
      <w:r w:rsidRPr="00BF0F04">
        <w:t>However, only 259 prospects in this pool have made a gift to CU (35%). That leaves 490 prospects that have never made a gift to CU (65%)</w:t>
      </w:r>
      <w:r>
        <w:t>, despite their high capacity and affinity</w:t>
      </w:r>
      <w:r w:rsidRPr="00BF0F04">
        <w:t xml:space="preserve">.  </w:t>
      </w:r>
    </w:p>
    <w:p w14:paraId="479F956C" w14:textId="6BD24073" w:rsidR="00846D9A" w:rsidRPr="00B8018C" w:rsidRDefault="00846D9A" w:rsidP="00846D9A">
      <w:pPr>
        <w:rPr>
          <w:highlight w:val="yellow"/>
        </w:rPr>
      </w:pPr>
      <w:r w:rsidRPr="00BF0F04">
        <w:t xml:space="preserve">When narrowing down the pool to prospects with a high gift capacity of $100,000+ and a high </w:t>
      </w:r>
      <w:r w:rsidR="0082432C">
        <w:t>SUBW</w:t>
      </w:r>
      <w:r w:rsidRPr="00BF0F04">
        <w:t xml:space="preserve"> affinity score, this brings us to 201 prospects. Of those, 90 have made a gift to CU (45%). This leaves 111 that have never given to CU (55%). Only 21 (10%) of these major gift prospects have been previously managed. Assuming those 21 prospects have been disqualified, this leaves a major gift prospect pool of 180. Of this group of 180, 154 have had at least one contact report entered (note: this may include student callers). </w:t>
      </w:r>
      <w:commentRangeEnd w:id="10"/>
      <w:r w:rsidR="00223766">
        <w:rPr>
          <w:rStyle w:val="CommentReference"/>
        </w:rPr>
        <w:commentReference w:id="10"/>
      </w:r>
    </w:p>
    <w:p w14:paraId="7F134BFB" w14:textId="06BEE702" w:rsidR="00846D9A" w:rsidRPr="00846D9A" w:rsidRDefault="00846D9A" w:rsidP="00846D9A">
      <w:r w:rsidRPr="000D7CE4">
        <w:t xml:space="preserve">Of the unmanaged organizations (59), 34 have a lifetime giving of $10K+ to CU and 23 have a lifetime giving of $10K+ to the </w:t>
      </w:r>
      <w:r w:rsidR="0082432C">
        <w:t>School of Underwater Basket Weaving</w:t>
      </w:r>
      <w:r w:rsidRPr="000D7CE4">
        <w:t>.</w:t>
      </w:r>
    </w:p>
    <w:p w14:paraId="2256D93E" w14:textId="77777777" w:rsidR="00846D9A" w:rsidRPr="00565E99" w:rsidRDefault="00846D9A" w:rsidP="00846D9A">
      <w:r w:rsidRPr="00565E99">
        <w:rPr>
          <w:b/>
        </w:rPr>
        <w:t>Overall Pool Contact</w:t>
      </w:r>
    </w:p>
    <w:p w14:paraId="78D8D924" w14:textId="77777777" w:rsidR="00846D9A" w:rsidRPr="00565E99" w:rsidRDefault="00846D9A" w:rsidP="00846D9A">
      <w:commentRangeStart w:id="11"/>
      <w:r w:rsidRPr="00565E99">
        <w:t>In the pool as a whole (including both managed and unmanaged prospects), 64% (2,215 entities) have had at least one contact report (this includes student callers). In addition, 8% of the total pool (292 entities) have had at least one significant contact.</w:t>
      </w:r>
    </w:p>
    <w:p w14:paraId="0B6722E9" w14:textId="57950F0B" w:rsidR="00846D9A" w:rsidRPr="00846D9A" w:rsidRDefault="00846D9A" w:rsidP="00846D9A">
      <w:pPr>
        <w:rPr>
          <w:i/>
        </w:rPr>
      </w:pPr>
      <w:r w:rsidRPr="00565E99">
        <w:rPr>
          <w:i/>
        </w:rPr>
        <w:t>Significant contact includes: personal visit, group setting visit, video conference, and phone call-spoke to donor.</w:t>
      </w:r>
      <w:commentRangeEnd w:id="11"/>
      <w:r w:rsidR="007F19E4">
        <w:rPr>
          <w:rStyle w:val="CommentReference"/>
        </w:rPr>
        <w:commentReference w:id="11"/>
      </w:r>
    </w:p>
    <w:p w14:paraId="0EB30B3B" w14:textId="77777777" w:rsidR="00846D9A" w:rsidRPr="000D7CE4" w:rsidRDefault="00846D9A" w:rsidP="00846D9A">
      <w:pPr>
        <w:rPr>
          <w:b/>
        </w:rPr>
      </w:pPr>
      <w:r w:rsidRPr="000D7CE4">
        <w:rPr>
          <w:u w:val="single"/>
        </w:rPr>
        <w:t>Gift Capacity</w:t>
      </w:r>
    </w:p>
    <w:tbl>
      <w:tblPr>
        <w:tblW w:w="4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2250"/>
      </w:tblGrid>
      <w:tr w:rsidR="00846D9A" w:rsidRPr="000E1763" w14:paraId="30152FEA" w14:textId="77777777" w:rsidTr="000F09AF">
        <w:trPr>
          <w:trHeight w:val="300"/>
        </w:trPr>
        <w:tc>
          <w:tcPr>
            <w:tcW w:w="2509" w:type="dxa"/>
            <w:shd w:val="clear" w:color="auto" w:fill="E7E6E6" w:themeFill="background2"/>
            <w:noWrap/>
            <w:vAlign w:val="bottom"/>
            <w:hideMark/>
          </w:tcPr>
          <w:p w14:paraId="05C28DF6" w14:textId="77777777" w:rsidR="00846D9A" w:rsidRPr="005F5FEB" w:rsidRDefault="00846D9A" w:rsidP="000F09AF">
            <w:pPr>
              <w:spacing w:after="0" w:line="240" w:lineRule="auto"/>
              <w:rPr>
                <w:rFonts w:ascii="Calibri" w:eastAsia="Times New Roman" w:hAnsi="Calibri" w:cs="Calibri"/>
                <w:b/>
                <w:color w:val="000000"/>
              </w:rPr>
            </w:pPr>
            <w:r w:rsidRPr="005F5FEB">
              <w:rPr>
                <w:rFonts w:ascii="Calibri" w:eastAsia="Times New Roman" w:hAnsi="Calibri" w:cs="Calibri"/>
                <w:b/>
                <w:color w:val="000000"/>
              </w:rPr>
              <w:t>Capacity</w:t>
            </w:r>
          </w:p>
        </w:tc>
        <w:tc>
          <w:tcPr>
            <w:tcW w:w="2250" w:type="dxa"/>
            <w:shd w:val="clear" w:color="auto" w:fill="E7E6E6" w:themeFill="background2"/>
            <w:noWrap/>
            <w:vAlign w:val="bottom"/>
            <w:hideMark/>
          </w:tcPr>
          <w:p w14:paraId="13CCBA56" w14:textId="77777777" w:rsidR="00846D9A" w:rsidRPr="005F5FEB" w:rsidRDefault="00846D9A" w:rsidP="000F09AF">
            <w:pPr>
              <w:spacing w:after="0" w:line="240" w:lineRule="auto"/>
              <w:jc w:val="center"/>
              <w:rPr>
                <w:rFonts w:ascii="Calibri" w:eastAsia="Times New Roman" w:hAnsi="Calibri" w:cs="Calibri"/>
                <w:b/>
                <w:color w:val="000000"/>
              </w:rPr>
            </w:pPr>
            <w:r w:rsidRPr="005F5FEB">
              <w:rPr>
                <w:rFonts w:ascii="Calibri" w:eastAsia="Times New Roman" w:hAnsi="Calibri" w:cs="Calibri"/>
                <w:b/>
                <w:color w:val="000000"/>
              </w:rPr>
              <w:t>Number of prospects</w:t>
            </w:r>
          </w:p>
        </w:tc>
      </w:tr>
      <w:tr w:rsidR="00846D9A" w:rsidRPr="000E1763" w14:paraId="3AACDAA9" w14:textId="77777777" w:rsidTr="000F09AF">
        <w:trPr>
          <w:trHeight w:val="300"/>
        </w:trPr>
        <w:tc>
          <w:tcPr>
            <w:tcW w:w="2509" w:type="dxa"/>
            <w:shd w:val="clear" w:color="auto" w:fill="auto"/>
            <w:noWrap/>
            <w:vAlign w:val="bottom"/>
          </w:tcPr>
          <w:p w14:paraId="37DBE01A" w14:textId="77777777" w:rsidR="00846D9A" w:rsidRPr="005F5FEB" w:rsidRDefault="00846D9A" w:rsidP="000F09AF">
            <w:pPr>
              <w:spacing w:after="0" w:line="240" w:lineRule="auto"/>
              <w:rPr>
                <w:rFonts w:ascii="Calibri" w:eastAsia="Times New Roman" w:hAnsi="Calibri" w:cs="Calibri"/>
                <w:color w:val="000000"/>
              </w:rPr>
            </w:pPr>
            <w:r w:rsidRPr="005F5FEB">
              <w:rPr>
                <w:rFonts w:ascii="Calibri" w:eastAsia="Times New Roman" w:hAnsi="Calibri" w:cs="Calibri"/>
                <w:color w:val="000000"/>
              </w:rPr>
              <w:t>$10,000,000+</w:t>
            </w:r>
          </w:p>
        </w:tc>
        <w:tc>
          <w:tcPr>
            <w:tcW w:w="2250" w:type="dxa"/>
            <w:shd w:val="clear" w:color="auto" w:fill="auto"/>
            <w:noWrap/>
            <w:vAlign w:val="bottom"/>
          </w:tcPr>
          <w:p w14:paraId="093112DA" w14:textId="77777777" w:rsidR="00846D9A" w:rsidRPr="005F5FEB" w:rsidRDefault="00846D9A" w:rsidP="000F09AF">
            <w:pPr>
              <w:spacing w:after="0" w:line="240" w:lineRule="auto"/>
              <w:jc w:val="center"/>
              <w:rPr>
                <w:rFonts w:ascii="Calibri" w:eastAsia="Times New Roman" w:hAnsi="Calibri" w:cs="Calibri"/>
                <w:color w:val="000000"/>
              </w:rPr>
            </w:pPr>
            <w:r w:rsidRPr="005F5FEB">
              <w:rPr>
                <w:rFonts w:ascii="Calibri" w:eastAsia="Times New Roman" w:hAnsi="Calibri" w:cs="Calibri"/>
                <w:color w:val="000000"/>
              </w:rPr>
              <w:t>1</w:t>
            </w:r>
          </w:p>
        </w:tc>
      </w:tr>
      <w:tr w:rsidR="00846D9A" w:rsidRPr="000E1763" w14:paraId="7E59910A" w14:textId="77777777" w:rsidTr="000F09AF">
        <w:trPr>
          <w:trHeight w:val="300"/>
        </w:trPr>
        <w:tc>
          <w:tcPr>
            <w:tcW w:w="2509" w:type="dxa"/>
            <w:shd w:val="clear" w:color="auto" w:fill="auto"/>
            <w:noWrap/>
            <w:vAlign w:val="bottom"/>
          </w:tcPr>
          <w:p w14:paraId="144D5858" w14:textId="77777777" w:rsidR="00846D9A" w:rsidRPr="005F5FEB" w:rsidRDefault="00846D9A" w:rsidP="000F09AF">
            <w:pPr>
              <w:spacing w:after="0" w:line="240" w:lineRule="auto"/>
              <w:rPr>
                <w:rFonts w:ascii="Calibri" w:eastAsia="Times New Roman" w:hAnsi="Calibri" w:cs="Calibri"/>
                <w:color w:val="000000"/>
              </w:rPr>
            </w:pPr>
            <w:r w:rsidRPr="005F5FEB">
              <w:rPr>
                <w:rFonts w:ascii="Calibri" w:eastAsia="Times New Roman" w:hAnsi="Calibri" w:cs="Calibri"/>
                <w:color w:val="000000"/>
              </w:rPr>
              <w:t>$1,000,000-$10,000,000</w:t>
            </w:r>
          </w:p>
        </w:tc>
        <w:tc>
          <w:tcPr>
            <w:tcW w:w="2250" w:type="dxa"/>
            <w:shd w:val="clear" w:color="auto" w:fill="auto"/>
            <w:noWrap/>
            <w:vAlign w:val="bottom"/>
          </w:tcPr>
          <w:p w14:paraId="7642DE5D" w14:textId="77777777" w:rsidR="00846D9A" w:rsidRPr="005F5FEB" w:rsidRDefault="00846D9A" w:rsidP="000F09AF">
            <w:pPr>
              <w:spacing w:after="0" w:line="240" w:lineRule="auto"/>
              <w:jc w:val="center"/>
              <w:rPr>
                <w:rFonts w:ascii="Calibri" w:eastAsia="Times New Roman" w:hAnsi="Calibri" w:cs="Calibri"/>
                <w:color w:val="000000"/>
              </w:rPr>
            </w:pPr>
            <w:r w:rsidRPr="005F5FEB">
              <w:rPr>
                <w:rFonts w:ascii="Calibri" w:eastAsia="Times New Roman" w:hAnsi="Calibri" w:cs="Calibri"/>
                <w:color w:val="000000"/>
              </w:rPr>
              <w:t>6</w:t>
            </w:r>
          </w:p>
        </w:tc>
      </w:tr>
      <w:tr w:rsidR="00846D9A" w:rsidRPr="000E1763" w14:paraId="5B3E6DEB" w14:textId="77777777" w:rsidTr="000F09AF">
        <w:trPr>
          <w:trHeight w:val="300"/>
        </w:trPr>
        <w:tc>
          <w:tcPr>
            <w:tcW w:w="2509" w:type="dxa"/>
            <w:shd w:val="clear" w:color="auto" w:fill="auto"/>
            <w:noWrap/>
            <w:vAlign w:val="bottom"/>
            <w:hideMark/>
          </w:tcPr>
          <w:p w14:paraId="4D1E2531" w14:textId="77777777" w:rsidR="00846D9A" w:rsidRPr="005F5FEB" w:rsidRDefault="00846D9A" w:rsidP="000F09AF">
            <w:pPr>
              <w:spacing w:after="0" w:line="240" w:lineRule="auto"/>
              <w:rPr>
                <w:rFonts w:ascii="Calibri" w:eastAsia="Times New Roman" w:hAnsi="Calibri" w:cs="Calibri"/>
                <w:color w:val="000000"/>
              </w:rPr>
            </w:pPr>
            <w:r w:rsidRPr="005F5FEB">
              <w:rPr>
                <w:rFonts w:ascii="Calibri" w:eastAsia="Times New Roman" w:hAnsi="Calibri" w:cs="Calibri"/>
                <w:color w:val="000000"/>
              </w:rPr>
              <w:t>$250,000-$999,999</w:t>
            </w:r>
          </w:p>
        </w:tc>
        <w:tc>
          <w:tcPr>
            <w:tcW w:w="2250" w:type="dxa"/>
            <w:shd w:val="clear" w:color="auto" w:fill="auto"/>
            <w:noWrap/>
            <w:vAlign w:val="bottom"/>
          </w:tcPr>
          <w:p w14:paraId="1885ACAF" w14:textId="77777777" w:rsidR="00846D9A" w:rsidRPr="005F5FEB" w:rsidRDefault="00846D9A" w:rsidP="000F09AF">
            <w:pPr>
              <w:spacing w:after="0" w:line="240" w:lineRule="auto"/>
              <w:jc w:val="center"/>
              <w:rPr>
                <w:rFonts w:ascii="Calibri" w:eastAsia="Times New Roman" w:hAnsi="Calibri" w:cs="Calibri"/>
                <w:color w:val="000000"/>
              </w:rPr>
            </w:pPr>
            <w:r w:rsidRPr="005F5FEB">
              <w:rPr>
                <w:rFonts w:ascii="Calibri" w:eastAsia="Times New Roman" w:hAnsi="Calibri" w:cs="Calibri"/>
                <w:color w:val="000000"/>
              </w:rPr>
              <w:t>53</w:t>
            </w:r>
          </w:p>
        </w:tc>
      </w:tr>
      <w:tr w:rsidR="00846D9A" w:rsidRPr="000E1763" w14:paraId="688ECE08" w14:textId="77777777" w:rsidTr="000F09AF">
        <w:trPr>
          <w:trHeight w:val="300"/>
        </w:trPr>
        <w:tc>
          <w:tcPr>
            <w:tcW w:w="2509" w:type="dxa"/>
            <w:shd w:val="clear" w:color="auto" w:fill="auto"/>
            <w:noWrap/>
            <w:vAlign w:val="bottom"/>
          </w:tcPr>
          <w:p w14:paraId="050BC0FE" w14:textId="77777777" w:rsidR="00846D9A" w:rsidRPr="005F5FEB" w:rsidRDefault="00846D9A" w:rsidP="000F09AF">
            <w:pPr>
              <w:spacing w:after="0" w:line="240" w:lineRule="auto"/>
              <w:rPr>
                <w:rFonts w:ascii="Calibri" w:eastAsia="Times New Roman" w:hAnsi="Calibri" w:cs="Calibri"/>
                <w:color w:val="000000"/>
              </w:rPr>
            </w:pPr>
            <w:r w:rsidRPr="005F5FEB">
              <w:rPr>
                <w:rFonts w:ascii="Calibri" w:eastAsia="Times New Roman" w:hAnsi="Calibri" w:cs="Calibri"/>
                <w:color w:val="000000"/>
              </w:rPr>
              <w:t>$100,000-$249,999</w:t>
            </w:r>
          </w:p>
        </w:tc>
        <w:tc>
          <w:tcPr>
            <w:tcW w:w="2250" w:type="dxa"/>
            <w:shd w:val="clear" w:color="auto" w:fill="auto"/>
            <w:noWrap/>
            <w:vAlign w:val="bottom"/>
          </w:tcPr>
          <w:p w14:paraId="2EF783FA" w14:textId="77777777" w:rsidR="00846D9A" w:rsidRPr="005F5FEB" w:rsidRDefault="00846D9A" w:rsidP="000F09AF">
            <w:pPr>
              <w:spacing w:after="0" w:line="240" w:lineRule="auto"/>
              <w:jc w:val="center"/>
              <w:rPr>
                <w:rFonts w:ascii="Calibri" w:eastAsia="Times New Roman" w:hAnsi="Calibri" w:cs="Calibri"/>
                <w:color w:val="000000"/>
              </w:rPr>
            </w:pPr>
            <w:r w:rsidRPr="005F5FEB">
              <w:rPr>
                <w:rFonts w:ascii="Calibri" w:eastAsia="Times New Roman" w:hAnsi="Calibri" w:cs="Calibri"/>
                <w:color w:val="000000"/>
              </w:rPr>
              <w:t>248</w:t>
            </w:r>
          </w:p>
        </w:tc>
      </w:tr>
      <w:tr w:rsidR="00846D9A" w:rsidRPr="000E1763" w14:paraId="7A4BA48D" w14:textId="77777777" w:rsidTr="000F09AF">
        <w:trPr>
          <w:trHeight w:val="300"/>
        </w:trPr>
        <w:tc>
          <w:tcPr>
            <w:tcW w:w="2509" w:type="dxa"/>
            <w:shd w:val="clear" w:color="auto" w:fill="auto"/>
            <w:noWrap/>
            <w:vAlign w:val="bottom"/>
          </w:tcPr>
          <w:p w14:paraId="4982FC4C" w14:textId="77777777" w:rsidR="00846D9A" w:rsidRPr="005F5FEB" w:rsidRDefault="00846D9A" w:rsidP="000F09AF">
            <w:pPr>
              <w:spacing w:after="0" w:line="240" w:lineRule="auto"/>
              <w:rPr>
                <w:rFonts w:ascii="Calibri" w:eastAsia="Times New Roman" w:hAnsi="Calibri" w:cs="Calibri"/>
                <w:color w:val="000000"/>
              </w:rPr>
            </w:pPr>
            <w:r w:rsidRPr="005F5FEB">
              <w:rPr>
                <w:rFonts w:ascii="Calibri" w:eastAsia="Times New Roman" w:hAnsi="Calibri" w:cs="Calibri"/>
                <w:color w:val="000000"/>
              </w:rPr>
              <w:t>$25,000-$99,999</w:t>
            </w:r>
          </w:p>
        </w:tc>
        <w:tc>
          <w:tcPr>
            <w:tcW w:w="2250" w:type="dxa"/>
            <w:shd w:val="clear" w:color="auto" w:fill="auto"/>
            <w:noWrap/>
            <w:vAlign w:val="bottom"/>
          </w:tcPr>
          <w:p w14:paraId="4115BEF5" w14:textId="77777777" w:rsidR="00846D9A" w:rsidRPr="005F5FEB" w:rsidRDefault="00846D9A" w:rsidP="000F09AF">
            <w:pPr>
              <w:spacing w:after="0" w:line="240" w:lineRule="auto"/>
              <w:jc w:val="center"/>
              <w:rPr>
                <w:rFonts w:ascii="Calibri" w:eastAsia="Times New Roman" w:hAnsi="Calibri" w:cs="Calibri"/>
                <w:color w:val="000000"/>
              </w:rPr>
            </w:pPr>
            <w:r w:rsidRPr="005F5FEB">
              <w:rPr>
                <w:rFonts w:ascii="Calibri" w:eastAsia="Times New Roman" w:hAnsi="Calibri" w:cs="Calibri"/>
                <w:color w:val="000000"/>
              </w:rPr>
              <w:t>688</w:t>
            </w:r>
          </w:p>
        </w:tc>
      </w:tr>
      <w:tr w:rsidR="00846D9A" w:rsidRPr="000E1763" w14:paraId="171822CC" w14:textId="77777777" w:rsidTr="000F09AF">
        <w:trPr>
          <w:trHeight w:val="300"/>
        </w:trPr>
        <w:tc>
          <w:tcPr>
            <w:tcW w:w="2509" w:type="dxa"/>
            <w:shd w:val="clear" w:color="auto" w:fill="auto"/>
            <w:noWrap/>
            <w:vAlign w:val="bottom"/>
          </w:tcPr>
          <w:p w14:paraId="42F4B679" w14:textId="77777777" w:rsidR="00846D9A" w:rsidRPr="005F5FEB" w:rsidRDefault="00846D9A" w:rsidP="000F09AF">
            <w:pPr>
              <w:spacing w:after="0" w:line="240" w:lineRule="auto"/>
              <w:rPr>
                <w:rFonts w:ascii="Calibri" w:eastAsia="Times New Roman" w:hAnsi="Calibri" w:cs="Calibri"/>
                <w:color w:val="000000"/>
              </w:rPr>
            </w:pPr>
            <w:r w:rsidRPr="005F5FEB">
              <w:rPr>
                <w:rFonts w:ascii="Calibri" w:eastAsia="Times New Roman" w:hAnsi="Calibri" w:cs="Calibri"/>
                <w:color w:val="000000"/>
              </w:rPr>
              <w:t>$10,000-$24,999</w:t>
            </w:r>
          </w:p>
        </w:tc>
        <w:tc>
          <w:tcPr>
            <w:tcW w:w="2250" w:type="dxa"/>
            <w:shd w:val="clear" w:color="auto" w:fill="auto"/>
            <w:noWrap/>
            <w:vAlign w:val="bottom"/>
          </w:tcPr>
          <w:p w14:paraId="41092689" w14:textId="77777777" w:rsidR="00846D9A" w:rsidRPr="005F5FEB" w:rsidRDefault="00846D9A" w:rsidP="000F09AF">
            <w:pPr>
              <w:spacing w:after="0" w:line="240" w:lineRule="auto"/>
              <w:jc w:val="center"/>
              <w:rPr>
                <w:rFonts w:ascii="Calibri" w:eastAsia="Times New Roman" w:hAnsi="Calibri" w:cs="Calibri"/>
                <w:color w:val="000000"/>
              </w:rPr>
            </w:pPr>
            <w:r w:rsidRPr="005F5FEB">
              <w:rPr>
                <w:rFonts w:ascii="Calibri" w:eastAsia="Times New Roman" w:hAnsi="Calibri" w:cs="Calibri"/>
                <w:color w:val="000000"/>
              </w:rPr>
              <w:t>183</w:t>
            </w:r>
          </w:p>
        </w:tc>
      </w:tr>
      <w:tr w:rsidR="00846D9A" w:rsidRPr="000E1763" w14:paraId="087276FA" w14:textId="77777777" w:rsidTr="000F09AF">
        <w:trPr>
          <w:trHeight w:val="300"/>
        </w:trPr>
        <w:tc>
          <w:tcPr>
            <w:tcW w:w="2509" w:type="dxa"/>
            <w:shd w:val="clear" w:color="auto" w:fill="auto"/>
            <w:noWrap/>
            <w:vAlign w:val="bottom"/>
          </w:tcPr>
          <w:p w14:paraId="13FBBB76" w14:textId="77777777" w:rsidR="00846D9A" w:rsidRPr="005F5FEB" w:rsidRDefault="00846D9A" w:rsidP="000F09AF">
            <w:pPr>
              <w:spacing w:after="0" w:line="240" w:lineRule="auto"/>
              <w:rPr>
                <w:rFonts w:ascii="Calibri" w:eastAsia="Times New Roman" w:hAnsi="Calibri" w:cs="Calibri"/>
                <w:color w:val="000000"/>
              </w:rPr>
            </w:pPr>
            <w:r w:rsidRPr="005F5FEB">
              <w:rPr>
                <w:rFonts w:ascii="Calibri" w:eastAsia="Times New Roman" w:hAnsi="Calibri" w:cs="Calibri"/>
                <w:color w:val="000000"/>
              </w:rPr>
              <w:t>$2,500-$9,999</w:t>
            </w:r>
          </w:p>
        </w:tc>
        <w:tc>
          <w:tcPr>
            <w:tcW w:w="2250" w:type="dxa"/>
            <w:shd w:val="clear" w:color="auto" w:fill="auto"/>
            <w:noWrap/>
            <w:vAlign w:val="bottom"/>
          </w:tcPr>
          <w:p w14:paraId="3B535F0E" w14:textId="77777777" w:rsidR="00846D9A" w:rsidRPr="005F5FEB" w:rsidRDefault="00846D9A" w:rsidP="000F09AF">
            <w:pPr>
              <w:spacing w:after="0" w:line="240" w:lineRule="auto"/>
              <w:jc w:val="center"/>
              <w:rPr>
                <w:rFonts w:ascii="Calibri" w:eastAsia="Times New Roman" w:hAnsi="Calibri" w:cs="Calibri"/>
                <w:color w:val="000000"/>
              </w:rPr>
            </w:pPr>
            <w:r w:rsidRPr="005F5FEB">
              <w:rPr>
                <w:rFonts w:ascii="Calibri" w:eastAsia="Times New Roman" w:hAnsi="Calibri" w:cs="Calibri"/>
                <w:color w:val="000000"/>
              </w:rPr>
              <w:t>502</w:t>
            </w:r>
          </w:p>
        </w:tc>
      </w:tr>
      <w:tr w:rsidR="00846D9A" w:rsidRPr="000E1763" w14:paraId="690E1411" w14:textId="77777777" w:rsidTr="000F09AF">
        <w:trPr>
          <w:trHeight w:val="300"/>
        </w:trPr>
        <w:tc>
          <w:tcPr>
            <w:tcW w:w="2509" w:type="dxa"/>
            <w:shd w:val="clear" w:color="auto" w:fill="auto"/>
            <w:noWrap/>
            <w:vAlign w:val="bottom"/>
          </w:tcPr>
          <w:p w14:paraId="2A4B14F6" w14:textId="77777777" w:rsidR="00846D9A" w:rsidRPr="005F5FEB" w:rsidRDefault="00846D9A" w:rsidP="000F09AF">
            <w:pPr>
              <w:spacing w:after="0" w:line="240" w:lineRule="auto"/>
              <w:rPr>
                <w:rFonts w:ascii="Calibri" w:eastAsia="Times New Roman" w:hAnsi="Calibri" w:cs="Calibri"/>
                <w:color w:val="000000"/>
              </w:rPr>
            </w:pPr>
            <w:r w:rsidRPr="005F5FEB">
              <w:rPr>
                <w:rFonts w:ascii="Calibri" w:eastAsia="Times New Roman" w:hAnsi="Calibri" w:cs="Calibri"/>
                <w:color w:val="000000"/>
              </w:rPr>
              <w:t>Less than $2,500</w:t>
            </w:r>
          </w:p>
        </w:tc>
        <w:tc>
          <w:tcPr>
            <w:tcW w:w="2250" w:type="dxa"/>
            <w:shd w:val="clear" w:color="auto" w:fill="auto"/>
            <w:noWrap/>
            <w:vAlign w:val="bottom"/>
          </w:tcPr>
          <w:p w14:paraId="1D6FE76D" w14:textId="77777777" w:rsidR="00846D9A" w:rsidRPr="005F5FEB" w:rsidRDefault="00846D9A" w:rsidP="000F09AF">
            <w:pPr>
              <w:spacing w:after="0" w:line="240" w:lineRule="auto"/>
              <w:jc w:val="center"/>
              <w:rPr>
                <w:rFonts w:ascii="Calibri" w:eastAsia="Times New Roman" w:hAnsi="Calibri" w:cs="Calibri"/>
                <w:color w:val="000000"/>
              </w:rPr>
            </w:pPr>
            <w:r w:rsidRPr="005F5FEB">
              <w:rPr>
                <w:rFonts w:ascii="Calibri" w:eastAsia="Times New Roman" w:hAnsi="Calibri" w:cs="Calibri"/>
                <w:color w:val="000000"/>
              </w:rPr>
              <w:t>32</w:t>
            </w:r>
          </w:p>
        </w:tc>
      </w:tr>
      <w:tr w:rsidR="00846D9A" w:rsidRPr="000E1763" w14:paraId="5A149E8D" w14:textId="77777777" w:rsidTr="000F09AF">
        <w:trPr>
          <w:trHeight w:val="300"/>
        </w:trPr>
        <w:tc>
          <w:tcPr>
            <w:tcW w:w="2509" w:type="dxa"/>
            <w:shd w:val="clear" w:color="auto" w:fill="auto"/>
            <w:noWrap/>
            <w:vAlign w:val="bottom"/>
          </w:tcPr>
          <w:p w14:paraId="5C24B75A" w14:textId="77777777" w:rsidR="00846D9A" w:rsidRPr="005F5FEB" w:rsidRDefault="00846D9A" w:rsidP="000F09AF">
            <w:pPr>
              <w:spacing w:after="0" w:line="240" w:lineRule="auto"/>
              <w:rPr>
                <w:rFonts w:ascii="Calibri" w:eastAsia="Times New Roman" w:hAnsi="Calibri" w:cs="Calibri"/>
                <w:color w:val="000000"/>
              </w:rPr>
            </w:pPr>
            <w:r w:rsidRPr="005F5FEB">
              <w:rPr>
                <w:rFonts w:ascii="Calibri" w:eastAsia="Times New Roman" w:hAnsi="Calibri" w:cs="Calibri"/>
                <w:color w:val="000000"/>
              </w:rPr>
              <w:t>Unable to rate</w:t>
            </w:r>
          </w:p>
        </w:tc>
        <w:tc>
          <w:tcPr>
            <w:tcW w:w="2250" w:type="dxa"/>
            <w:shd w:val="clear" w:color="auto" w:fill="auto"/>
            <w:noWrap/>
            <w:vAlign w:val="bottom"/>
          </w:tcPr>
          <w:p w14:paraId="079AD61C" w14:textId="77777777" w:rsidR="00846D9A" w:rsidRPr="005F5FEB" w:rsidRDefault="00846D9A" w:rsidP="000F09AF">
            <w:pPr>
              <w:spacing w:after="0" w:line="240" w:lineRule="auto"/>
              <w:jc w:val="center"/>
              <w:rPr>
                <w:rFonts w:ascii="Calibri" w:eastAsia="Times New Roman" w:hAnsi="Calibri" w:cs="Calibri"/>
                <w:color w:val="000000"/>
              </w:rPr>
            </w:pPr>
            <w:r w:rsidRPr="005F5FEB">
              <w:rPr>
                <w:rFonts w:ascii="Calibri" w:eastAsia="Times New Roman" w:hAnsi="Calibri" w:cs="Calibri"/>
                <w:color w:val="000000"/>
              </w:rPr>
              <w:t>1,130</w:t>
            </w:r>
          </w:p>
        </w:tc>
      </w:tr>
      <w:tr w:rsidR="00846D9A" w:rsidRPr="000E1763" w14:paraId="01FAD00F" w14:textId="77777777" w:rsidTr="000F09AF">
        <w:trPr>
          <w:trHeight w:val="300"/>
        </w:trPr>
        <w:tc>
          <w:tcPr>
            <w:tcW w:w="2509" w:type="dxa"/>
            <w:shd w:val="clear" w:color="auto" w:fill="auto"/>
            <w:noWrap/>
            <w:vAlign w:val="bottom"/>
          </w:tcPr>
          <w:p w14:paraId="641371C5" w14:textId="77777777" w:rsidR="00846D9A" w:rsidRPr="005F5FEB" w:rsidRDefault="00846D9A" w:rsidP="000F09AF">
            <w:pPr>
              <w:spacing w:after="0" w:line="240" w:lineRule="auto"/>
              <w:rPr>
                <w:rFonts w:ascii="Calibri" w:eastAsia="Times New Roman" w:hAnsi="Calibri" w:cs="Calibri"/>
                <w:color w:val="000000"/>
              </w:rPr>
            </w:pPr>
            <w:r w:rsidRPr="005F5FEB">
              <w:rPr>
                <w:rFonts w:ascii="Calibri" w:eastAsia="Times New Roman" w:hAnsi="Calibri" w:cs="Calibri"/>
                <w:color w:val="000000"/>
              </w:rPr>
              <w:lastRenderedPageBreak/>
              <w:t>Blank/Orgs</w:t>
            </w:r>
          </w:p>
        </w:tc>
        <w:tc>
          <w:tcPr>
            <w:tcW w:w="2250" w:type="dxa"/>
            <w:shd w:val="clear" w:color="auto" w:fill="auto"/>
            <w:noWrap/>
            <w:vAlign w:val="bottom"/>
          </w:tcPr>
          <w:p w14:paraId="590077A5" w14:textId="77777777" w:rsidR="00846D9A" w:rsidRPr="005F5FEB" w:rsidRDefault="00846D9A" w:rsidP="000F09AF">
            <w:pPr>
              <w:spacing w:after="0" w:line="240" w:lineRule="auto"/>
              <w:jc w:val="center"/>
              <w:rPr>
                <w:rFonts w:ascii="Calibri" w:eastAsia="Times New Roman" w:hAnsi="Calibri" w:cs="Calibri"/>
                <w:color w:val="000000"/>
              </w:rPr>
            </w:pPr>
            <w:r w:rsidRPr="005F5FEB">
              <w:rPr>
                <w:rFonts w:ascii="Calibri" w:eastAsia="Times New Roman" w:hAnsi="Calibri" w:cs="Calibri"/>
                <w:color w:val="000000"/>
              </w:rPr>
              <w:t>604</w:t>
            </w:r>
          </w:p>
        </w:tc>
      </w:tr>
      <w:tr w:rsidR="00846D9A" w:rsidRPr="000E1763" w14:paraId="5888EFF5" w14:textId="77777777" w:rsidTr="000F09AF">
        <w:trPr>
          <w:trHeight w:val="300"/>
        </w:trPr>
        <w:tc>
          <w:tcPr>
            <w:tcW w:w="2509" w:type="dxa"/>
            <w:shd w:val="clear" w:color="auto" w:fill="E7E6E6" w:themeFill="background2"/>
            <w:noWrap/>
            <w:vAlign w:val="bottom"/>
          </w:tcPr>
          <w:p w14:paraId="0E0C7E22" w14:textId="77777777" w:rsidR="00846D9A" w:rsidRPr="005F5FEB" w:rsidRDefault="00846D9A" w:rsidP="000F09AF">
            <w:pPr>
              <w:spacing w:after="0" w:line="240" w:lineRule="auto"/>
              <w:rPr>
                <w:rFonts w:ascii="Calibri" w:eastAsia="Times New Roman" w:hAnsi="Calibri" w:cs="Calibri"/>
                <w:b/>
                <w:color w:val="000000"/>
              </w:rPr>
            </w:pPr>
            <w:r w:rsidRPr="005F5FEB">
              <w:rPr>
                <w:rFonts w:ascii="Calibri" w:eastAsia="Times New Roman" w:hAnsi="Calibri" w:cs="Calibri"/>
                <w:b/>
                <w:color w:val="000000"/>
              </w:rPr>
              <w:t>Total overall</w:t>
            </w:r>
          </w:p>
        </w:tc>
        <w:tc>
          <w:tcPr>
            <w:tcW w:w="2250" w:type="dxa"/>
            <w:shd w:val="clear" w:color="auto" w:fill="E7E6E6" w:themeFill="background2"/>
            <w:noWrap/>
            <w:vAlign w:val="bottom"/>
          </w:tcPr>
          <w:p w14:paraId="104F980D" w14:textId="77777777" w:rsidR="00846D9A" w:rsidRPr="005F5FEB" w:rsidRDefault="00846D9A" w:rsidP="000F09AF">
            <w:pPr>
              <w:spacing w:after="0" w:line="240" w:lineRule="auto"/>
              <w:jc w:val="center"/>
              <w:rPr>
                <w:rFonts w:ascii="Calibri" w:eastAsia="Times New Roman" w:hAnsi="Calibri" w:cs="Calibri"/>
                <w:color w:val="000000"/>
              </w:rPr>
            </w:pPr>
            <w:r w:rsidRPr="005F5FEB">
              <w:rPr>
                <w:rFonts w:ascii="Calibri" w:eastAsia="Times New Roman" w:hAnsi="Calibri" w:cs="Calibri"/>
                <w:color w:val="000000"/>
              </w:rPr>
              <w:t>3,447</w:t>
            </w:r>
          </w:p>
        </w:tc>
      </w:tr>
    </w:tbl>
    <w:p w14:paraId="61761D83" w14:textId="77777777" w:rsidR="000B2CBC" w:rsidRPr="00480185" w:rsidRDefault="000B2CBC" w:rsidP="00846D9A">
      <w:pPr>
        <w:rPr>
          <w:b/>
        </w:rPr>
      </w:pPr>
    </w:p>
    <w:sectPr w:rsidR="000B2CBC" w:rsidRPr="00480185">
      <w:headerReference w:type="default" r:id="rId2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atie Princo" w:date="2022-08-02T16:42:00Z" w:initials="KP">
    <w:p w14:paraId="0DAFCE4F" w14:textId="77777777" w:rsidR="003A2DE5" w:rsidRDefault="003A2DE5">
      <w:pPr>
        <w:pStyle w:val="CommentText"/>
      </w:pPr>
      <w:r>
        <w:rPr>
          <w:rStyle w:val="CommentReference"/>
        </w:rPr>
        <w:annotationRef/>
      </w:r>
      <w:r>
        <w:t>First, shout out to Chelsea Laxer and Georgia Brandau, both with the University of Colorado, for their help with this analysis!</w:t>
      </w:r>
    </w:p>
    <w:p w14:paraId="1A811144" w14:textId="3C580442" w:rsidR="003A2DE5" w:rsidRDefault="003A2DE5">
      <w:pPr>
        <w:pStyle w:val="CommentText"/>
      </w:pPr>
      <w:r>
        <w:t xml:space="preserve">Documenting what we know about the request and any context is incredibly helpful when going back to the analysis in the future.  Plus sometimes customers will forget </w:t>
      </w:r>
      <w:r w:rsidR="00A857C6">
        <w:t>what it was exactly they requested and why.</w:t>
      </w:r>
    </w:p>
  </w:comment>
  <w:comment w:id="1" w:author="Katie Princo" w:date="2022-08-02T16:45:00Z" w:initials="KP">
    <w:p w14:paraId="423E4304" w14:textId="3BA19F8D" w:rsidR="00A857C6" w:rsidRDefault="00A857C6">
      <w:pPr>
        <w:pStyle w:val="CommentText"/>
      </w:pPr>
      <w:r>
        <w:rPr>
          <w:rStyle w:val="CommentReference"/>
        </w:rPr>
        <w:annotationRef/>
      </w:r>
      <w:r>
        <w:t>Summarizing your key findings and recommendations at the top is incredibly helpful and sets the tone for the customer in perusing the rest of the analysis, especially to be sure they don’t miss the forest for the trees</w:t>
      </w:r>
    </w:p>
  </w:comment>
  <w:comment w:id="2" w:author="Katie Princo" w:date="2022-08-02T16:46:00Z" w:initials="KP">
    <w:p w14:paraId="00E774CC" w14:textId="0AB46E4C" w:rsidR="00A857C6" w:rsidRDefault="00A857C6">
      <w:pPr>
        <w:pStyle w:val="CommentText"/>
      </w:pPr>
      <w:r>
        <w:rPr>
          <w:rStyle w:val="CommentReference"/>
        </w:rPr>
        <w:annotationRef/>
      </w:r>
      <w:r>
        <w:t>It is helpful to start by noting who it was you looked at; this can help with later questions – did you include companies?  What about alumni who are listed in the database as graduating from X program but they really have affinity for Y?</w:t>
      </w:r>
    </w:p>
  </w:comment>
  <w:comment w:id="3" w:author="Katie Princo" w:date="2022-08-02T16:47:00Z" w:initials="KP">
    <w:p w14:paraId="46F81E3E" w14:textId="4EA3DDE9" w:rsidR="00A857C6" w:rsidRDefault="00A857C6">
      <w:pPr>
        <w:pStyle w:val="CommentText"/>
      </w:pPr>
      <w:r>
        <w:rPr>
          <w:rStyle w:val="CommentReference"/>
        </w:rPr>
        <w:annotationRef/>
      </w:r>
      <w:r>
        <w:t>High-level stats on the pool help orient the reader.  Feel free too to draw in any conclusions you’ll reiterate below; repetition can be helpful to make a point as long as you don’t overdo it</w:t>
      </w:r>
    </w:p>
  </w:comment>
  <w:comment w:id="4" w:author="Katie Princo" w:date="2022-08-02T16:49:00Z" w:initials="KP">
    <w:p w14:paraId="170EB2C2" w14:textId="77777777" w:rsidR="00A857C6" w:rsidRDefault="00A857C6">
      <w:pPr>
        <w:pStyle w:val="CommentText"/>
      </w:pPr>
      <w:r>
        <w:rPr>
          <w:rStyle w:val="CommentReference"/>
        </w:rPr>
        <w:annotationRef/>
      </w:r>
      <w:r>
        <w:t>For giving trends, I focused on the following topics:</w:t>
      </w:r>
    </w:p>
    <w:p w14:paraId="2E208C83" w14:textId="62F19C6F" w:rsidR="00A857C6" w:rsidRDefault="00A857C6">
      <w:pPr>
        <w:pStyle w:val="CommentText"/>
      </w:pPr>
      <w:r>
        <w:t>-Giving bands for donors, broken out by individuals vs. organizations, looking at any trends for who tends to be in which category</w:t>
      </w:r>
      <w:r w:rsidR="00203B26">
        <w:t xml:space="preserve"> (companies, alumni, etc.)</w:t>
      </w:r>
    </w:p>
    <w:p w14:paraId="7F35EDCA" w14:textId="4B27439A" w:rsidR="00A857C6" w:rsidRDefault="00A857C6">
      <w:pPr>
        <w:pStyle w:val="CommentText"/>
      </w:pPr>
      <w:r>
        <w:t>-How much of their charitable giving to CU has gone to the School of Underwater Basket Weaving?  Are these prospects with other philanthropic priorities?  Is it that the pool is not giving, or just not giving here?  How much are they giving?</w:t>
      </w:r>
    </w:p>
  </w:comment>
  <w:comment w:id="5" w:author="Katie Princo" w:date="2022-08-02T16:52:00Z" w:initials="KP">
    <w:p w14:paraId="65E4E953" w14:textId="06FE8E4D" w:rsidR="00A857C6" w:rsidRDefault="00A857C6">
      <w:pPr>
        <w:pStyle w:val="CommentText"/>
      </w:pPr>
      <w:r>
        <w:rPr>
          <w:rStyle w:val="CommentReference"/>
        </w:rPr>
        <w:annotationRef/>
      </w:r>
      <w:r>
        <w:t>Are the donors who made major gifts to the SUBW still engaged?  Do they still donate?  Have they all died or is there another reason they are no longer giving?</w:t>
      </w:r>
      <w:r w:rsidR="009373ED">
        <w:t xml:space="preserve">  This could also be a place to look at loyalty – is it that you have lots of loyal prospects who simply need to be upgraded?</w:t>
      </w:r>
    </w:p>
  </w:comment>
  <w:comment w:id="6" w:author="Katie Princo" w:date="2022-08-02T16:55:00Z" w:initials="KP">
    <w:p w14:paraId="63954552" w14:textId="12EF32DE" w:rsidR="0018167B" w:rsidRDefault="0018167B">
      <w:pPr>
        <w:pStyle w:val="CommentText"/>
      </w:pPr>
      <w:r>
        <w:rPr>
          <w:rStyle w:val="CommentReference"/>
        </w:rPr>
        <w:annotationRef/>
      </w:r>
      <w:r>
        <w:t>When there are anomalies, donors that stick out, take the time to quick look at their record.  Is there anything special going on?  Are they being engaged, stewarded, and cultivated as they should be?  Is the unit even aware of this donor?</w:t>
      </w:r>
    </w:p>
  </w:comment>
  <w:comment w:id="7" w:author="Katie Princo" w:date="2022-08-02T16:59:00Z" w:initials="KP">
    <w:p w14:paraId="05A2A25E" w14:textId="77777777" w:rsidR="0018167B" w:rsidRDefault="0018167B">
      <w:pPr>
        <w:pStyle w:val="CommentText"/>
      </w:pPr>
      <w:r>
        <w:rPr>
          <w:rStyle w:val="CommentReference"/>
        </w:rPr>
        <w:annotationRef/>
      </w:r>
      <w:r>
        <w:t>All of the above information I pulled from our database using reports and donor lists.  We also contract with DonorCentrics to analyze our annual giving pools; this is where my colleague Georgia Brandau shared her expertise</w:t>
      </w:r>
    </w:p>
    <w:p w14:paraId="366AEEB0" w14:textId="1A1A0E15" w:rsidR="00FF659E" w:rsidRDefault="00FF659E">
      <w:pPr>
        <w:pStyle w:val="CommentText"/>
      </w:pPr>
      <w:r>
        <w:t>If you don’t have a tool like DonorCentrics, this could be a good place to look at new donors by fiscal year,</w:t>
      </w:r>
      <w:r w:rsidR="00C05807">
        <w:t xml:space="preserve"> new donors by constituent type (alum, friend, parent, faculty, organization, whatever makes sense at your org), </w:t>
      </w:r>
      <w:r w:rsidR="00F0528E">
        <w:t>and loyal donor metrics.  How many donors of less than your major gift threshold are there each year, for the last 5 or 10 years?  Are there concerning trends where any have</w:t>
      </w:r>
      <w:r w:rsidR="00E9191D">
        <w:t xml:space="preserve"> fallen off?  Were average gift amounts higher in one year, been increasing, decreasing?</w:t>
      </w:r>
    </w:p>
  </w:comment>
  <w:comment w:id="8" w:author="Katie Princo" w:date="2022-08-02T17:01:00Z" w:initials="KP">
    <w:p w14:paraId="527D02D1" w14:textId="5161B399" w:rsidR="0018167B" w:rsidRDefault="0018167B">
      <w:pPr>
        <w:pStyle w:val="CommentText"/>
      </w:pPr>
      <w:r>
        <w:rPr>
          <w:rStyle w:val="CommentReference"/>
        </w:rPr>
        <w:annotationRef/>
      </w:r>
      <w:r>
        <w:t xml:space="preserve">If you have partners with expertise outside of research, </w:t>
      </w:r>
      <w:r w:rsidR="001A1DD6">
        <w:t>consider asking for their insights.  They may have industry knowledge you don’t</w:t>
      </w:r>
      <w:r>
        <w:t xml:space="preserve"> </w:t>
      </w:r>
    </w:p>
  </w:comment>
  <w:comment w:id="9" w:author="Katie Princo" w:date="2022-08-03T07:09:00Z" w:initials="KP">
    <w:p w14:paraId="5117BD36" w14:textId="5208826B" w:rsidR="00A814D1" w:rsidRDefault="00A814D1">
      <w:pPr>
        <w:pStyle w:val="CommentText"/>
      </w:pPr>
      <w:r>
        <w:rPr>
          <w:rStyle w:val="CommentReference"/>
        </w:rPr>
        <w:annotationRef/>
      </w:r>
      <w:r>
        <w:t xml:space="preserve">After you’ve looked at the overall pool, take a look at the managed pool.  What trends are there here?  </w:t>
      </w:r>
      <w:r w:rsidR="007E6346">
        <w:t>Again, high-level statistics can be helpful in orienting your reader before diving in</w:t>
      </w:r>
    </w:p>
  </w:comment>
  <w:comment w:id="10" w:author="Katie Princo" w:date="2022-08-03T07:11:00Z" w:initials="KP">
    <w:p w14:paraId="07B0D800" w14:textId="739A620B" w:rsidR="00D664D6" w:rsidRDefault="00223766">
      <w:pPr>
        <w:pStyle w:val="CommentText"/>
      </w:pPr>
      <w:r>
        <w:rPr>
          <w:rStyle w:val="CommentReference"/>
        </w:rPr>
        <w:annotationRef/>
      </w:r>
      <w:r>
        <w:t xml:space="preserve">Consider using your capacity and affinity scores, or other indicators of philanthropic inclination, to </w:t>
      </w:r>
      <w:r w:rsidR="000D1CD1">
        <w:t>quickly parse out the pool.  Though you’d likely want to do more work or segmentation before actually recommending any of these prospects for management – is there potential in the unmanaged pool?  Are there prospects with good indicators, such as capacity and affinity, who aren’t currently managed?  Could they be engaged as major gift donors, or is there perhaps not much potential in the pool?</w:t>
      </w:r>
    </w:p>
  </w:comment>
  <w:comment w:id="11" w:author="Katie Princo" w:date="2022-08-03T07:15:00Z" w:initials="KP">
    <w:p w14:paraId="64D8956C" w14:textId="7B3505F5" w:rsidR="007F19E4" w:rsidRDefault="007F19E4">
      <w:pPr>
        <w:pStyle w:val="CommentText"/>
      </w:pPr>
      <w:r>
        <w:rPr>
          <w:rStyle w:val="CommentReference"/>
        </w:rPr>
        <w:annotationRef/>
      </w:r>
      <w:r>
        <w:t>Looking at brief engagement metrics could indicate whether the pool has been engaged and still is not giving, or whether more engagement could be impactful to influence the pool’s giving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A811144" w15:done="0"/>
  <w15:commentEx w15:paraId="423E4304" w15:done="0"/>
  <w15:commentEx w15:paraId="00E774CC" w15:done="0"/>
  <w15:commentEx w15:paraId="46F81E3E" w15:done="0"/>
  <w15:commentEx w15:paraId="7F35EDCA" w15:done="0"/>
  <w15:commentEx w15:paraId="65E4E953" w15:done="0"/>
  <w15:commentEx w15:paraId="63954552" w15:done="0"/>
  <w15:commentEx w15:paraId="366AEEB0" w15:done="0"/>
  <w15:commentEx w15:paraId="527D02D1" w15:done="0"/>
  <w15:commentEx w15:paraId="5117BD36" w15:done="0"/>
  <w15:commentEx w15:paraId="07B0D800" w15:done="0"/>
  <w15:commentEx w15:paraId="64D8956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3D25C" w16cex:dateUtc="2022-08-02T22:42:00Z"/>
  <w16cex:commentExtensible w16cex:durableId="2693D314" w16cex:dateUtc="2022-08-02T22:45:00Z"/>
  <w16cex:commentExtensible w16cex:durableId="2693D352" w16cex:dateUtc="2022-08-02T22:46:00Z"/>
  <w16cex:commentExtensible w16cex:durableId="2693D38A" w16cex:dateUtc="2022-08-02T22:47:00Z"/>
  <w16cex:commentExtensible w16cex:durableId="2693D433" w16cex:dateUtc="2022-08-02T22:49:00Z"/>
  <w16cex:commentExtensible w16cex:durableId="2693D4E2" w16cex:dateUtc="2022-08-02T22:52:00Z"/>
  <w16cex:commentExtensible w16cex:durableId="2693D56A" w16cex:dateUtc="2022-08-02T22:55:00Z"/>
  <w16cex:commentExtensible w16cex:durableId="2693D65A" w16cex:dateUtc="2022-08-02T22:59:00Z"/>
  <w16cex:commentExtensible w16cex:durableId="2693D6D3" w16cex:dateUtc="2022-08-02T23:01:00Z"/>
  <w16cex:commentExtensible w16cex:durableId="26949DBB" w16cex:dateUtc="2022-08-03T13:09:00Z"/>
  <w16cex:commentExtensible w16cex:durableId="26949E3D" w16cex:dateUtc="2022-08-03T13:11:00Z"/>
  <w16cex:commentExtensible w16cex:durableId="26949F22" w16cex:dateUtc="2022-08-03T1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811144" w16cid:durableId="2693D25C"/>
  <w16cid:commentId w16cid:paraId="423E4304" w16cid:durableId="2693D314"/>
  <w16cid:commentId w16cid:paraId="00E774CC" w16cid:durableId="2693D352"/>
  <w16cid:commentId w16cid:paraId="46F81E3E" w16cid:durableId="2693D38A"/>
  <w16cid:commentId w16cid:paraId="7F35EDCA" w16cid:durableId="2693D433"/>
  <w16cid:commentId w16cid:paraId="65E4E953" w16cid:durableId="2693D4E2"/>
  <w16cid:commentId w16cid:paraId="63954552" w16cid:durableId="2693D56A"/>
  <w16cid:commentId w16cid:paraId="366AEEB0" w16cid:durableId="2693D65A"/>
  <w16cid:commentId w16cid:paraId="527D02D1" w16cid:durableId="2693D6D3"/>
  <w16cid:commentId w16cid:paraId="5117BD36" w16cid:durableId="26949DBB"/>
  <w16cid:commentId w16cid:paraId="07B0D800" w16cid:durableId="26949E3D"/>
  <w16cid:commentId w16cid:paraId="64D8956C" w16cid:durableId="26949F2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8ABFD" w14:textId="77777777" w:rsidR="00780AEC" w:rsidRDefault="00780AEC" w:rsidP="00754D8D">
      <w:pPr>
        <w:spacing w:after="0" w:line="240" w:lineRule="auto"/>
      </w:pPr>
      <w:r>
        <w:separator/>
      </w:r>
    </w:p>
  </w:endnote>
  <w:endnote w:type="continuationSeparator" w:id="0">
    <w:p w14:paraId="4B9231D3" w14:textId="77777777" w:rsidR="00780AEC" w:rsidRDefault="00780AEC" w:rsidP="00754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Bk">
    <w:altName w:val="Segoe UI"/>
    <w:charset w:val="00"/>
    <w:family w:val="swiss"/>
    <w:pitch w:val="variable"/>
    <w:sig w:usb0="00000001"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47FEA" w14:textId="77777777" w:rsidR="00780AEC" w:rsidRDefault="00780AEC" w:rsidP="00754D8D">
      <w:pPr>
        <w:spacing w:after="0" w:line="240" w:lineRule="auto"/>
      </w:pPr>
      <w:r>
        <w:separator/>
      </w:r>
    </w:p>
  </w:footnote>
  <w:footnote w:type="continuationSeparator" w:id="0">
    <w:p w14:paraId="2A70E74A" w14:textId="77777777" w:rsidR="00780AEC" w:rsidRDefault="00780AEC" w:rsidP="00754D8D">
      <w:pPr>
        <w:spacing w:after="0" w:line="240" w:lineRule="auto"/>
      </w:pPr>
      <w:r>
        <w:continuationSeparator/>
      </w:r>
    </w:p>
  </w:footnote>
  <w:footnote w:id="1">
    <w:p w14:paraId="1426AC48" w14:textId="795C1932" w:rsidR="00846D9A" w:rsidRDefault="00846D9A" w:rsidP="00846D9A">
      <w:pPr>
        <w:pStyle w:val="FootnoteText"/>
      </w:pPr>
      <w:r>
        <w:rPr>
          <w:rStyle w:val="FootnoteReference"/>
        </w:rPr>
        <w:footnoteRef/>
      </w:r>
      <w:r>
        <w:t xml:space="preserve"> </w:t>
      </w:r>
      <w:r w:rsidR="0018167B">
        <w:t>Footnotes can be helpful for specific donor info that may be distracting as part of the general text</w:t>
      </w:r>
    </w:p>
    <w:p w14:paraId="2AABF942" w14:textId="60C986F3" w:rsidR="00846D9A" w:rsidRPr="00DA517E" w:rsidRDefault="00846D9A" w:rsidP="00846D9A">
      <w:pPr>
        <w:rPr>
          <w:rFonts w:cstheme="minorHAnsi"/>
          <w:sz w:val="20"/>
          <w:szCs w:val="20"/>
        </w:rPr>
      </w:pPr>
      <w:r w:rsidRPr="00DA517E">
        <w:rPr>
          <w:sz w:val="20"/>
          <w:szCs w:val="20"/>
          <w:vertAlign w:val="superscript"/>
        </w:rPr>
        <w:t>2</w:t>
      </w:r>
      <w:r>
        <w:t xml:space="preserve"> </w:t>
      </w:r>
      <w:r w:rsidRPr="00DA517E">
        <w:rPr>
          <w:sz w:val="20"/>
          <w:szCs w:val="20"/>
        </w:rPr>
        <w:t xml:space="preserve">The increase in gift count in 1995 was largely </w:t>
      </w:r>
      <w:r w:rsidRPr="00DA517E">
        <w:rPr>
          <w:rFonts w:cstheme="minorHAnsi"/>
          <w:sz w:val="20"/>
          <w:szCs w:val="20"/>
        </w:rPr>
        <w:t xml:space="preserve">driven by gifts to the </w:t>
      </w:r>
      <w:r w:rsidR="0018167B">
        <w:rPr>
          <w:rFonts w:cstheme="minorHAnsi"/>
          <w:color w:val="000000"/>
          <w:sz w:val="20"/>
          <w:szCs w:val="20"/>
          <w:shd w:val="clear" w:color="auto" w:fill="FFFFFF"/>
        </w:rPr>
        <w:t xml:space="preserve">INSERT FUND INFORMATION HERE </w:t>
      </w:r>
      <w:r w:rsidRPr="00DA517E">
        <w:rPr>
          <w:rFonts w:cstheme="minorHAnsi"/>
          <w:color w:val="000000"/>
          <w:sz w:val="20"/>
          <w:szCs w:val="20"/>
          <w:shd w:val="clear" w:color="auto" w:fill="FFFFFF"/>
        </w:rPr>
        <w:t xml:space="preserve">(most likely a memorial fund, 115 of the 197 gifts that year), along with gifts to the </w:t>
      </w:r>
      <w:r w:rsidR="0018167B">
        <w:rPr>
          <w:rFonts w:cstheme="minorHAnsi"/>
          <w:color w:val="000000"/>
          <w:sz w:val="20"/>
          <w:szCs w:val="20"/>
          <w:shd w:val="clear" w:color="auto" w:fill="FFFFFF"/>
        </w:rPr>
        <w:t>FUND INFORMATION</w:t>
      </w:r>
      <w:r w:rsidRPr="00DA517E">
        <w:rPr>
          <w:rFonts w:cstheme="minorHAnsi"/>
          <w:color w:val="000000"/>
          <w:sz w:val="20"/>
          <w:szCs w:val="20"/>
          <w:shd w:val="clear" w:color="auto" w:fill="FFFFFF"/>
        </w:rPr>
        <w:t xml:space="preserve"> (38 of the 197 gifts).</w:t>
      </w:r>
    </w:p>
  </w:footnote>
  <w:footnote w:id="2">
    <w:p w14:paraId="7D909BD2" w14:textId="77777777" w:rsidR="005D460B" w:rsidRDefault="005D460B" w:rsidP="005D460B">
      <w:pPr>
        <w:pStyle w:val="FootnoteText"/>
      </w:pPr>
      <w:r>
        <w:rPr>
          <w:rStyle w:val="FootnoteReference"/>
        </w:rPr>
        <w:footnoteRef/>
      </w:r>
      <w:r>
        <w:t xml:space="preserve"> Source: DonorCentrics, data also discussed with Annual Giving team for conclusions</w:t>
      </w:r>
    </w:p>
  </w:footnote>
  <w:footnote w:id="3">
    <w:p w14:paraId="53C5181B" w14:textId="77777777" w:rsidR="001E3DC5" w:rsidRDefault="001E3DC5" w:rsidP="001E3DC5">
      <w:pPr>
        <w:pStyle w:val="FootnoteText"/>
      </w:pPr>
      <w:r>
        <w:rPr>
          <w:rStyle w:val="FootnoteReference"/>
        </w:rPr>
        <w:footnoteRef/>
      </w:r>
      <w:r>
        <w:t xml:space="preserve"> Source: DonorCentrics, data also discussed with Annual Giving team for conclusions</w:t>
      </w:r>
    </w:p>
  </w:footnote>
  <w:footnote w:id="4">
    <w:p w14:paraId="52ED8FBE" w14:textId="77777777" w:rsidR="005D460B" w:rsidRDefault="005D460B" w:rsidP="005D460B">
      <w:pPr>
        <w:pStyle w:val="FootnoteText"/>
      </w:pPr>
      <w:r>
        <w:rPr>
          <w:rStyle w:val="FootnoteReference"/>
        </w:rPr>
        <w:footnoteRef/>
      </w:r>
      <w:r>
        <w:t xml:space="preserve"> Source: DonorCentrics, data also discussed with Annual Giving team for conclusions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6B858" w14:textId="77777777" w:rsidR="00754D8D" w:rsidRPr="003B5E22" w:rsidRDefault="00754D8D" w:rsidP="00754D8D">
    <w:pPr>
      <w:pStyle w:val="Header"/>
      <w:shd w:val="clear" w:color="auto" w:fill="595959"/>
      <w:tabs>
        <w:tab w:val="right" w:pos="10080"/>
      </w:tabs>
      <w:rPr>
        <w:rFonts w:ascii="Futura Bk" w:hAnsi="Futura Bk"/>
        <w:b/>
        <w:smallCaps/>
        <w:sz w:val="25"/>
        <w:szCs w:val="25"/>
      </w:rPr>
    </w:pPr>
    <w:r>
      <w:rPr>
        <w:rFonts w:ascii="Futura Bk" w:hAnsi="Futura Bk"/>
        <w:b/>
        <w:smallCaps/>
        <w:color w:val="FFFFFF"/>
        <w:sz w:val="25"/>
        <w:szCs w:val="25"/>
      </w:rPr>
      <w:t xml:space="preserve">Advancement Prospect Development &amp; Research                                                   </w:t>
    </w:r>
    <w:r>
      <w:rPr>
        <w:rFonts w:ascii="Futura Bk" w:hAnsi="Futura Bk"/>
        <w:b/>
        <w:bCs/>
        <w:smallCaps/>
        <w:color w:val="FFFFFF"/>
        <w:sz w:val="25"/>
        <w:szCs w:val="25"/>
      </w:rPr>
      <w:t>Analysis</w:t>
    </w:r>
  </w:p>
  <w:p w14:paraId="521AD8F7" w14:textId="77777777" w:rsidR="00754D8D" w:rsidRDefault="00754D8D" w:rsidP="00754D8D">
    <w:pPr>
      <w:pStyle w:val="Header"/>
      <w:tabs>
        <w:tab w:val="right" w:pos="10080"/>
      </w:tabs>
      <w:jc w:val="right"/>
      <w:rPr>
        <w:rFonts w:ascii="Futura Bk" w:hAnsi="Futura Bk"/>
        <w:sz w:val="16"/>
        <w:szCs w:val="16"/>
      </w:rPr>
    </w:pPr>
    <w:r>
      <w:rPr>
        <w:noProof/>
      </w:rPr>
      <w:drawing>
        <wp:anchor distT="0" distB="0" distL="114300" distR="114300" simplePos="0" relativeHeight="251659264" behindDoc="1" locked="0" layoutInCell="1" allowOverlap="1" wp14:anchorId="58874F02" wp14:editId="59EEE34E">
          <wp:simplePos x="0" y="0"/>
          <wp:positionH relativeFrom="column">
            <wp:posOffset>0</wp:posOffset>
          </wp:positionH>
          <wp:positionV relativeFrom="paragraph">
            <wp:posOffset>8255</wp:posOffset>
          </wp:positionV>
          <wp:extent cx="2495550" cy="523875"/>
          <wp:effectExtent l="0" t="0" r="0" b="0"/>
          <wp:wrapTight wrapText="bothSides">
            <wp:wrapPolygon edited="0">
              <wp:start x="0" y="0"/>
              <wp:lineTo x="0" y="21207"/>
              <wp:lineTo x="21435" y="21207"/>
              <wp:lineTo x="21435" y="0"/>
              <wp:lineTo x="0" y="0"/>
            </wp:wrapPolygon>
          </wp:wrapTight>
          <wp:docPr id="2" name="Picture 11" descr="Description: Description: R:\Branding\MASTER\System\Logos\cu-logo_f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escription: R:\Branding\MASTER\System\Logos\cu-logo_fl.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9555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mallCaps/>
      </w:rPr>
      <w:tab/>
    </w:r>
    <w:r>
      <w:rPr>
        <w:rFonts w:ascii="Futura Bk" w:hAnsi="Futura Bk"/>
        <w:sz w:val="16"/>
        <w:szCs w:val="16"/>
      </w:rPr>
      <w:t>PD &amp; Research Liaisons: Chelsea Laxer &amp; Katie Princo</w:t>
    </w:r>
  </w:p>
  <w:p w14:paraId="6B026321" w14:textId="300CE83C" w:rsidR="00754D8D" w:rsidRDefault="00754D8D" w:rsidP="00754D8D">
    <w:pPr>
      <w:pStyle w:val="Header"/>
      <w:tabs>
        <w:tab w:val="right" w:pos="10080"/>
      </w:tabs>
      <w:jc w:val="right"/>
      <w:rPr>
        <w:rFonts w:ascii="Futura Bk" w:hAnsi="Futura Bk"/>
        <w:sz w:val="16"/>
        <w:szCs w:val="16"/>
      </w:rPr>
    </w:pPr>
    <w:r>
      <w:rPr>
        <w:rFonts w:ascii="Futura Bk" w:hAnsi="Futura Bk"/>
        <w:sz w:val="16"/>
        <w:szCs w:val="16"/>
      </w:rPr>
      <w:tab/>
      <w:t xml:space="preserve">Date Prepared: </w:t>
    </w:r>
    <w:r w:rsidR="00B74A74">
      <w:rPr>
        <w:rFonts w:ascii="Futura Bk" w:hAnsi="Futura Bk"/>
        <w:sz w:val="16"/>
        <w:szCs w:val="16"/>
      </w:rPr>
      <w:t>DATE</w:t>
    </w:r>
  </w:p>
  <w:p w14:paraId="55A1DC4D" w14:textId="42DFF994" w:rsidR="00754D8D" w:rsidRDefault="00754D8D" w:rsidP="00754D8D">
    <w:pPr>
      <w:pStyle w:val="Header"/>
      <w:tabs>
        <w:tab w:val="right" w:pos="10080"/>
      </w:tabs>
      <w:jc w:val="right"/>
      <w:rPr>
        <w:rFonts w:ascii="Futura Bk" w:hAnsi="Futura Bk"/>
        <w:sz w:val="16"/>
        <w:szCs w:val="16"/>
      </w:rPr>
    </w:pPr>
    <w:r>
      <w:rPr>
        <w:rFonts w:ascii="Futura Bk" w:hAnsi="Futura Bk"/>
        <w:sz w:val="16"/>
        <w:szCs w:val="16"/>
      </w:rPr>
      <w:t xml:space="preserve">Requested by: </w:t>
    </w:r>
    <w:r w:rsidR="00B74A74">
      <w:rPr>
        <w:rFonts w:ascii="Futura Bk" w:hAnsi="Futura Bk"/>
        <w:sz w:val="16"/>
        <w:szCs w:val="16"/>
      </w:rPr>
      <w:t>CUSTOMER</w:t>
    </w:r>
  </w:p>
  <w:p w14:paraId="3D8D64CB" w14:textId="77777777" w:rsidR="00754D8D" w:rsidRDefault="00754D8D" w:rsidP="00754D8D">
    <w:pPr>
      <w:pStyle w:val="Header"/>
      <w:tabs>
        <w:tab w:val="right" w:pos="10080"/>
      </w:tabs>
      <w:rPr>
        <w:rFonts w:ascii="Futura Bk" w:hAnsi="Futura Bk"/>
        <w:sz w:val="16"/>
        <w:szCs w:val="16"/>
      </w:rPr>
    </w:pPr>
    <w:r>
      <w:rPr>
        <w:rFonts w:ascii="Futura Bk" w:hAnsi="Futura Bk"/>
        <w:sz w:val="16"/>
        <w:szCs w:val="16"/>
      </w:rPr>
      <w:tab/>
    </w:r>
  </w:p>
  <w:p w14:paraId="74608C05" w14:textId="77777777" w:rsidR="00754D8D" w:rsidRPr="001A5F64" w:rsidRDefault="00754D8D" w:rsidP="00754D8D">
    <w:pPr>
      <w:pStyle w:val="Header"/>
      <w:tabs>
        <w:tab w:val="right" w:pos="10080"/>
      </w:tabs>
      <w:rPr>
        <w:rFonts w:ascii="Futura Bk" w:hAnsi="Futura Bk"/>
        <w:sz w:val="16"/>
        <w:szCs w:val="16"/>
      </w:rPr>
    </w:pPr>
    <w:r>
      <w:rPr>
        <w:rFonts w:ascii="Futura Bk" w:hAnsi="Futura Bk"/>
        <w:sz w:val="16"/>
        <w:szCs w:val="16"/>
      </w:rPr>
      <w:tab/>
    </w:r>
  </w:p>
  <w:p w14:paraId="36E89893" w14:textId="77777777" w:rsidR="00754D8D" w:rsidRDefault="00754D8D" w:rsidP="00754D8D">
    <w:pPr>
      <w:pStyle w:val="Header"/>
      <w:rPr>
        <w:sz w:val="16"/>
        <w:szCs w:val="16"/>
      </w:rPr>
    </w:pPr>
    <w:r w:rsidRPr="000C21F8">
      <w:rPr>
        <w:b/>
        <w:bCs/>
        <w:i/>
        <w:smallCaps/>
        <w:color w:val="FF0000"/>
        <w:sz w:val="25"/>
        <w:szCs w:val="25"/>
      </w:rPr>
      <w:t>highly confidential</w:t>
    </w:r>
  </w:p>
  <w:p w14:paraId="14320384" w14:textId="77777777" w:rsidR="00754D8D" w:rsidRDefault="00754D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3B66"/>
    <w:multiLevelType w:val="hybridMultilevel"/>
    <w:tmpl w:val="02FCD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E45"/>
    <w:multiLevelType w:val="hybridMultilevel"/>
    <w:tmpl w:val="D186B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F65114C"/>
    <w:multiLevelType w:val="hybridMultilevel"/>
    <w:tmpl w:val="8556B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9B21FC"/>
    <w:multiLevelType w:val="hybridMultilevel"/>
    <w:tmpl w:val="2D849B38"/>
    <w:lvl w:ilvl="0" w:tplc="84ECF2B8">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30D60B8"/>
    <w:multiLevelType w:val="hybridMultilevel"/>
    <w:tmpl w:val="9DEA9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60158D1"/>
    <w:multiLevelType w:val="hybridMultilevel"/>
    <w:tmpl w:val="3942F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DB7E50"/>
    <w:multiLevelType w:val="hybridMultilevel"/>
    <w:tmpl w:val="9F30716C"/>
    <w:lvl w:ilvl="0" w:tplc="79CCF800">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2"/>
  </w:num>
  <w:num w:numId="5">
    <w:abstractNumId w:val="0"/>
  </w:num>
  <w:num w:numId="6">
    <w:abstractNumId w:val="4"/>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ie Princo">
    <w15:presenceInfo w15:providerId="AD" w15:userId="S::kfmuelle@cu.edu::90e8aab3-be5f-4115-8ea8-fe12c12649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D8D"/>
    <w:rsid w:val="00004F6C"/>
    <w:rsid w:val="00050584"/>
    <w:rsid w:val="0007729A"/>
    <w:rsid w:val="000B2CBC"/>
    <w:rsid w:val="000B486B"/>
    <w:rsid w:val="000D1CD1"/>
    <w:rsid w:val="001219C0"/>
    <w:rsid w:val="00126C67"/>
    <w:rsid w:val="0018167B"/>
    <w:rsid w:val="001825A4"/>
    <w:rsid w:val="001A1DD6"/>
    <w:rsid w:val="001B4AD2"/>
    <w:rsid w:val="001D3D8A"/>
    <w:rsid w:val="001E3DC5"/>
    <w:rsid w:val="001F178E"/>
    <w:rsid w:val="00203B26"/>
    <w:rsid w:val="002074FC"/>
    <w:rsid w:val="00223199"/>
    <w:rsid w:val="00223766"/>
    <w:rsid w:val="00242737"/>
    <w:rsid w:val="0025741A"/>
    <w:rsid w:val="002C4A2D"/>
    <w:rsid w:val="002D752A"/>
    <w:rsid w:val="00316BDA"/>
    <w:rsid w:val="003318F9"/>
    <w:rsid w:val="0036632C"/>
    <w:rsid w:val="003A2DE5"/>
    <w:rsid w:val="003E032C"/>
    <w:rsid w:val="003E0F3A"/>
    <w:rsid w:val="003E21B8"/>
    <w:rsid w:val="004004AE"/>
    <w:rsid w:val="004007FB"/>
    <w:rsid w:val="00426647"/>
    <w:rsid w:val="00440F3D"/>
    <w:rsid w:val="0044254A"/>
    <w:rsid w:val="00480185"/>
    <w:rsid w:val="004947E8"/>
    <w:rsid w:val="004A77A2"/>
    <w:rsid w:val="004C48D8"/>
    <w:rsid w:val="004C6F16"/>
    <w:rsid w:val="00551ECD"/>
    <w:rsid w:val="005B1D32"/>
    <w:rsid w:val="005D460B"/>
    <w:rsid w:val="005E4313"/>
    <w:rsid w:val="005E642D"/>
    <w:rsid w:val="00600FDC"/>
    <w:rsid w:val="00627596"/>
    <w:rsid w:val="006472C7"/>
    <w:rsid w:val="00655EEC"/>
    <w:rsid w:val="00656F9F"/>
    <w:rsid w:val="00696351"/>
    <w:rsid w:val="006B2172"/>
    <w:rsid w:val="006B6886"/>
    <w:rsid w:val="006B785E"/>
    <w:rsid w:val="006C6F0A"/>
    <w:rsid w:val="006D543A"/>
    <w:rsid w:val="006E76F5"/>
    <w:rsid w:val="0070523E"/>
    <w:rsid w:val="00705E32"/>
    <w:rsid w:val="00721BAD"/>
    <w:rsid w:val="007430E9"/>
    <w:rsid w:val="00754D8D"/>
    <w:rsid w:val="00756E14"/>
    <w:rsid w:val="00764542"/>
    <w:rsid w:val="00780AEC"/>
    <w:rsid w:val="00795614"/>
    <w:rsid w:val="007C39B7"/>
    <w:rsid w:val="007E6346"/>
    <w:rsid w:val="007F19E4"/>
    <w:rsid w:val="0082432C"/>
    <w:rsid w:val="00837723"/>
    <w:rsid w:val="00846D9A"/>
    <w:rsid w:val="008719F5"/>
    <w:rsid w:val="00873BF6"/>
    <w:rsid w:val="00894120"/>
    <w:rsid w:val="008B1BE0"/>
    <w:rsid w:val="00911CD8"/>
    <w:rsid w:val="009373ED"/>
    <w:rsid w:val="009C4E71"/>
    <w:rsid w:val="009C554A"/>
    <w:rsid w:val="00A207EF"/>
    <w:rsid w:val="00A42A95"/>
    <w:rsid w:val="00A51AD7"/>
    <w:rsid w:val="00A669D0"/>
    <w:rsid w:val="00A814D1"/>
    <w:rsid w:val="00A857C6"/>
    <w:rsid w:val="00A96782"/>
    <w:rsid w:val="00AC6848"/>
    <w:rsid w:val="00AD5591"/>
    <w:rsid w:val="00AE052B"/>
    <w:rsid w:val="00AF4202"/>
    <w:rsid w:val="00B24A7D"/>
    <w:rsid w:val="00B40B0E"/>
    <w:rsid w:val="00B4359D"/>
    <w:rsid w:val="00B710B4"/>
    <w:rsid w:val="00B74A74"/>
    <w:rsid w:val="00BB31CB"/>
    <w:rsid w:val="00BF6E71"/>
    <w:rsid w:val="00C05807"/>
    <w:rsid w:val="00C20D22"/>
    <w:rsid w:val="00C27659"/>
    <w:rsid w:val="00C52729"/>
    <w:rsid w:val="00C80B90"/>
    <w:rsid w:val="00CA4A3F"/>
    <w:rsid w:val="00CB1505"/>
    <w:rsid w:val="00CC1698"/>
    <w:rsid w:val="00CC5E1E"/>
    <w:rsid w:val="00CE4DB4"/>
    <w:rsid w:val="00D10820"/>
    <w:rsid w:val="00D664D6"/>
    <w:rsid w:val="00D76A47"/>
    <w:rsid w:val="00D84681"/>
    <w:rsid w:val="00D872BF"/>
    <w:rsid w:val="00D934EA"/>
    <w:rsid w:val="00DC029C"/>
    <w:rsid w:val="00DC034F"/>
    <w:rsid w:val="00DC49C4"/>
    <w:rsid w:val="00E23DAD"/>
    <w:rsid w:val="00E254F4"/>
    <w:rsid w:val="00E34528"/>
    <w:rsid w:val="00E600E0"/>
    <w:rsid w:val="00E64934"/>
    <w:rsid w:val="00E9191D"/>
    <w:rsid w:val="00E96D11"/>
    <w:rsid w:val="00EA6050"/>
    <w:rsid w:val="00EC165E"/>
    <w:rsid w:val="00ED219B"/>
    <w:rsid w:val="00ED732D"/>
    <w:rsid w:val="00F0528E"/>
    <w:rsid w:val="00F06669"/>
    <w:rsid w:val="00F07BA5"/>
    <w:rsid w:val="00F1307A"/>
    <w:rsid w:val="00F416DB"/>
    <w:rsid w:val="00F43DD0"/>
    <w:rsid w:val="00F5666C"/>
    <w:rsid w:val="00FA1319"/>
    <w:rsid w:val="00FB5257"/>
    <w:rsid w:val="00FC6786"/>
    <w:rsid w:val="00FE64F5"/>
    <w:rsid w:val="00FF6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E3281"/>
  <w15:chartTrackingRefBased/>
  <w15:docId w15:val="{3C86329C-028C-405D-9C74-2034970E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D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4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D8D"/>
  </w:style>
  <w:style w:type="paragraph" w:styleId="Footer">
    <w:name w:val="footer"/>
    <w:basedOn w:val="Normal"/>
    <w:link w:val="FooterChar"/>
    <w:uiPriority w:val="99"/>
    <w:unhideWhenUsed/>
    <w:rsid w:val="00754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D8D"/>
  </w:style>
  <w:style w:type="paragraph" w:styleId="ListParagraph">
    <w:name w:val="List Paragraph"/>
    <w:basedOn w:val="Normal"/>
    <w:uiPriority w:val="34"/>
    <w:qFormat/>
    <w:rsid w:val="00754D8D"/>
    <w:pPr>
      <w:ind w:left="720"/>
      <w:contextualSpacing/>
    </w:pPr>
  </w:style>
  <w:style w:type="table" w:styleId="TableGrid">
    <w:name w:val="Table Grid"/>
    <w:basedOn w:val="TableNormal"/>
    <w:uiPriority w:val="39"/>
    <w:rsid w:val="00BF6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D55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5591"/>
    <w:rPr>
      <w:sz w:val="20"/>
      <w:szCs w:val="20"/>
    </w:rPr>
  </w:style>
  <w:style w:type="character" w:styleId="FootnoteReference">
    <w:name w:val="footnote reference"/>
    <w:basedOn w:val="DefaultParagraphFont"/>
    <w:uiPriority w:val="99"/>
    <w:semiHidden/>
    <w:unhideWhenUsed/>
    <w:rsid w:val="00AD5591"/>
    <w:rPr>
      <w:vertAlign w:val="superscript"/>
    </w:rPr>
  </w:style>
  <w:style w:type="character" w:styleId="CommentReference">
    <w:name w:val="annotation reference"/>
    <w:basedOn w:val="DefaultParagraphFont"/>
    <w:uiPriority w:val="99"/>
    <w:semiHidden/>
    <w:unhideWhenUsed/>
    <w:rsid w:val="001E3DC5"/>
    <w:rPr>
      <w:sz w:val="16"/>
      <w:szCs w:val="16"/>
    </w:rPr>
  </w:style>
  <w:style w:type="paragraph" w:styleId="CommentText">
    <w:name w:val="annotation text"/>
    <w:basedOn w:val="Normal"/>
    <w:link w:val="CommentTextChar"/>
    <w:uiPriority w:val="99"/>
    <w:semiHidden/>
    <w:unhideWhenUsed/>
    <w:rsid w:val="001E3DC5"/>
    <w:pPr>
      <w:spacing w:line="240" w:lineRule="auto"/>
    </w:pPr>
    <w:rPr>
      <w:sz w:val="20"/>
      <w:szCs w:val="20"/>
    </w:rPr>
  </w:style>
  <w:style w:type="character" w:customStyle="1" w:styleId="CommentTextChar">
    <w:name w:val="Comment Text Char"/>
    <w:basedOn w:val="DefaultParagraphFont"/>
    <w:link w:val="CommentText"/>
    <w:uiPriority w:val="99"/>
    <w:semiHidden/>
    <w:rsid w:val="001E3DC5"/>
    <w:rPr>
      <w:sz w:val="20"/>
      <w:szCs w:val="20"/>
    </w:rPr>
  </w:style>
  <w:style w:type="paragraph" w:styleId="CommentSubject">
    <w:name w:val="annotation subject"/>
    <w:basedOn w:val="CommentText"/>
    <w:next w:val="CommentText"/>
    <w:link w:val="CommentSubjectChar"/>
    <w:uiPriority w:val="99"/>
    <w:semiHidden/>
    <w:unhideWhenUsed/>
    <w:rsid w:val="001E3DC5"/>
    <w:rPr>
      <w:b/>
      <w:bCs/>
    </w:rPr>
  </w:style>
  <w:style w:type="character" w:customStyle="1" w:styleId="CommentSubjectChar">
    <w:name w:val="Comment Subject Char"/>
    <w:basedOn w:val="CommentTextChar"/>
    <w:link w:val="CommentSubject"/>
    <w:uiPriority w:val="99"/>
    <w:semiHidden/>
    <w:rsid w:val="001E3DC5"/>
    <w:rPr>
      <w:b/>
      <w:bCs/>
      <w:sz w:val="20"/>
      <w:szCs w:val="20"/>
    </w:rPr>
  </w:style>
  <w:style w:type="paragraph" w:styleId="BalloonText">
    <w:name w:val="Balloon Text"/>
    <w:basedOn w:val="Normal"/>
    <w:link w:val="BalloonTextChar"/>
    <w:uiPriority w:val="99"/>
    <w:semiHidden/>
    <w:unhideWhenUsed/>
    <w:rsid w:val="001E3D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D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445192">
      <w:bodyDiv w:val="1"/>
      <w:marLeft w:val="0"/>
      <w:marRight w:val="0"/>
      <w:marTop w:val="0"/>
      <w:marBottom w:val="0"/>
      <w:divBdr>
        <w:top w:val="none" w:sz="0" w:space="0" w:color="auto"/>
        <w:left w:val="none" w:sz="0" w:space="0" w:color="auto"/>
        <w:bottom w:val="none" w:sz="0" w:space="0" w:color="auto"/>
        <w:right w:val="none" w:sz="0" w:space="0" w:color="auto"/>
      </w:divBdr>
    </w:div>
    <w:div w:id="505292775">
      <w:bodyDiv w:val="1"/>
      <w:marLeft w:val="0"/>
      <w:marRight w:val="0"/>
      <w:marTop w:val="0"/>
      <w:marBottom w:val="0"/>
      <w:divBdr>
        <w:top w:val="none" w:sz="0" w:space="0" w:color="auto"/>
        <w:left w:val="none" w:sz="0" w:space="0" w:color="auto"/>
        <w:bottom w:val="none" w:sz="0" w:space="0" w:color="auto"/>
        <w:right w:val="none" w:sz="0" w:space="0" w:color="auto"/>
      </w:divBdr>
    </w:div>
    <w:div w:id="1340549335">
      <w:bodyDiv w:val="1"/>
      <w:marLeft w:val="0"/>
      <w:marRight w:val="0"/>
      <w:marTop w:val="0"/>
      <w:marBottom w:val="0"/>
      <w:divBdr>
        <w:top w:val="none" w:sz="0" w:space="0" w:color="auto"/>
        <w:left w:val="none" w:sz="0" w:space="0" w:color="auto"/>
        <w:bottom w:val="none" w:sz="0" w:space="0" w:color="auto"/>
        <w:right w:val="none" w:sz="0" w:space="0" w:color="auto"/>
      </w:divBdr>
      <w:divsChild>
        <w:div w:id="261186428">
          <w:marLeft w:val="0"/>
          <w:marRight w:val="0"/>
          <w:marTop w:val="0"/>
          <w:marBottom w:val="0"/>
          <w:divBdr>
            <w:top w:val="none" w:sz="0" w:space="0" w:color="auto"/>
            <w:left w:val="none" w:sz="0" w:space="0" w:color="auto"/>
            <w:bottom w:val="none" w:sz="0" w:space="0" w:color="auto"/>
            <w:right w:val="none" w:sz="0" w:space="0" w:color="auto"/>
          </w:divBdr>
          <w:divsChild>
            <w:div w:id="532232450">
              <w:marLeft w:val="-240"/>
              <w:marRight w:val="-120"/>
              <w:marTop w:val="0"/>
              <w:marBottom w:val="0"/>
              <w:divBdr>
                <w:top w:val="none" w:sz="0" w:space="0" w:color="auto"/>
                <w:left w:val="none" w:sz="0" w:space="0" w:color="auto"/>
                <w:bottom w:val="none" w:sz="0" w:space="0" w:color="auto"/>
                <w:right w:val="none" w:sz="0" w:space="0" w:color="auto"/>
              </w:divBdr>
              <w:divsChild>
                <w:div w:id="602735333">
                  <w:marLeft w:val="0"/>
                  <w:marRight w:val="0"/>
                  <w:marTop w:val="0"/>
                  <w:marBottom w:val="60"/>
                  <w:divBdr>
                    <w:top w:val="none" w:sz="0" w:space="0" w:color="auto"/>
                    <w:left w:val="none" w:sz="0" w:space="0" w:color="auto"/>
                    <w:bottom w:val="none" w:sz="0" w:space="0" w:color="auto"/>
                    <w:right w:val="none" w:sz="0" w:space="0" w:color="auto"/>
                  </w:divBdr>
                  <w:divsChild>
                    <w:div w:id="1560633869">
                      <w:marLeft w:val="0"/>
                      <w:marRight w:val="0"/>
                      <w:marTop w:val="0"/>
                      <w:marBottom w:val="0"/>
                      <w:divBdr>
                        <w:top w:val="none" w:sz="0" w:space="0" w:color="auto"/>
                        <w:left w:val="none" w:sz="0" w:space="0" w:color="auto"/>
                        <w:bottom w:val="none" w:sz="0" w:space="0" w:color="auto"/>
                        <w:right w:val="none" w:sz="0" w:space="0" w:color="auto"/>
                      </w:divBdr>
                      <w:divsChild>
                        <w:div w:id="120618339">
                          <w:marLeft w:val="0"/>
                          <w:marRight w:val="0"/>
                          <w:marTop w:val="0"/>
                          <w:marBottom w:val="0"/>
                          <w:divBdr>
                            <w:top w:val="none" w:sz="0" w:space="0" w:color="auto"/>
                            <w:left w:val="none" w:sz="0" w:space="0" w:color="auto"/>
                            <w:bottom w:val="none" w:sz="0" w:space="0" w:color="auto"/>
                            <w:right w:val="none" w:sz="0" w:space="0" w:color="auto"/>
                          </w:divBdr>
                          <w:divsChild>
                            <w:div w:id="1314290003">
                              <w:marLeft w:val="0"/>
                              <w:marRight w:val="0"/>
                              <w:marTop w:val="0"/>
                              <w:marBottom w:val="0"/>
                              <w:divBdr>
                                <w:top w:val="none" w:sz="0" w:space="0" w:color="auto"/>
                                <w:left w:val="none" w:sz="0" w:space="0" w:color="auto"/>
                                <w:bottom w:val="none" w:sz="0" w:space="0" w:color="auto"/>
                                <w:right w:val="none" w:sz="0" w:space="0" w:color="auto"/>
                              </w:divBdr>
                              <w:divsChild>
                                <w:div w:id="59998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95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993383A3-B005-48A1-A8DD-E2EF769B5A1A" TargetMode="External"/><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C3EA2DB4457364795B00E8E9A540DAC" ma:contentTypeVersion="12" ma:contentTypeDescription="Create a new document." ma:contentTypeScope="" ma:versionID="b29d27158a41db5661df5e964b01d799">
  <xsd:schema xmlns:xsd="http://www.w3.org/2001/XMLSchema" xmlns:xs="http://www.w3.org/2001/XMLSchema" xmlns:p="http://schemas.microsoft.com/office/2006/metadata/properties" xmlns:ns3="deb5f08d-5861-40e5-afa1-dc4d9b555a38" xmlns:ns4="9418ba9e-9c71-4029-b6a4-f2c87d133b1e" targetNamespace="http://schemas.microsoft.com/office/2006/metadata/properties" ma:root="true" ma:fieldsID="9ef18bcc15e1d395a169519249d72a6d" ns3:_="" ns4:_="">
    <xsd:import namespace="deb5f08d-5861-40e5-afa1-dc4d9b555a38"/>
    <xsd:import namespace="9418ba9e-9c71-4029-b6a4-f2c87d133b1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b5f08d-5861-40e5-afa1-dc4d9b555a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18ba9e-9c71-4029-b6a4-f2c87d133b1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6844BE-70CE-4921-8A5B-8106D3549A62}">
  <ds:schemaRefs>
    <ds:schemaRef ds:uri="http://schemas.microsoft.com/sharepoint/v3/contenttype/forms"/>
  </ds:schemaRefs>
</ds:datastoreItem>
</file>

<file path=customXml/itemProps2.xml><?xml version="1.0" encoding="utf-8"?>
<ds:datastoreItem xmlns:ds="http://schemas.openxmlformats.org/officeDocument/2006/customXml" ds:itemID="{FCAB275A-AAEF-4DA6-8C23-4C7B97FF20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DC1D2A-B3AA-46EC-A6C6-8C95994D0D56}">
  <ds:schemaRefs>
    <ds:schemaRef ds:uri="http://schemas.openxmlformats.org/officeDocument/2006/bibliography"/>
  </ds:schemaRefs>
</ds:datastoreItem>
</file>

<file path=customXml/itemProps4.xml><?xml version="1.0" encoding="utf-8"?>
<ds:datastoreItem xmlns:ds="http://schemas.openxmlformats.org/officeDocument/2006/customXml" ds:itemID="{67D0FE9C-07DB-4512-A4A8-56D76CA02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b5f08d-5861-40e5-afa1-dc4d9b555a38"/>
    <ds:schemaRef ds:uri="9418ba9e-9c71-4029-b6a4-f2c87d133b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1804</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12069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Oneil</dc:creator>
  <cp:keywords/>
  <dc:description/>
  <cp:lastModifiedBy>Katie Princo</cp:lastModifiedBy>
  <cp:revision>23</cp:revision>
  <dcterms:created xsi:type="dcterms:W3CDTF">2022-08-02T22:40:00Z</dcterms:created>
  <dcterms:modified xsi:type="dcterms:W3CDTF">2022-08-09T16:08:00Z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0x0101005C3EA2DB4457364795B00E8E9A540DAC</vt:lpwstr>
  </property>
</Properties>
</file>